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9634" w:type="dxa"/>
        <w:tblInd w:w="0" w:type="dxa"/>
        <w:tblLayout w:type="fixed"/>
        <w:tblCellMar>
          <w:top w:w="0" w:type="dxa"/>
          <w:left w:w="108" w:type="dxa"/>
          <w:bottom w:w="0" w:type="dxa"/>
          <w:right w:w="108" w:type="dxa"/>
        </w:tblCellMar>
      </w:tblPr>
      <w:tblGrid>
        <w:gridCol w:w="9634"/>
      </w:tblGrid>
      <w:tr w14:paraId="6606AAD8">
        <w:tblPrEx>
          <w:tblCellMar>
            <w:top w:w="0" w:type="dxa"/>
            <w:left w:w="108" w:type="dxa"/>
            <w:bottom w:w="0" w:type="dxa"/>
            <w:right w:w="108" w:type="dxa"/>
          </w:tblCellMar>
        </w:tblPrEx>
        <w:tc>
          <w:tcPr>
            <w:tcW w:w="9634" w:type="dxa"/>
            <w:tcBorders>
              <w:top w:val="single" w:color="000000" w:sz="4" w:space="0"/>
              <w:left w:val="single" w:color="000000" w:sz="4" w:space="0"/>
              <w:bottom w:val="single" w:color="000000" w:sz="4" w:space="0"/>
              <w:right w:val="single" w:color="000000" w:sz="4" w:space="0"/>
            </w:tcBorders>
          </w:tcPr>
          <w:p w14:paraId="77FAFF5C">
            <w:pPr>
              <w:snapToGrid w:val="0"/>
              <w:rPr>
                <w:b/>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0DF163CA">
              <w:tc>
                <w:tcPr>
                  <w:tcW w:w="9373" w:type="dxa"/>
                  <w:tcBorders>
                    <w:top w:val="single" w:color="000000" w:sz="4" w:space="0"/>
                    <w:left w:val="single" w:color="000000" w:sz="4" w:space="0"/>
                    <w:bottom w:val="single" w:color="000000" w:sz="4" w:space="0"/>
                    <w:right w:val="single" w:color="000000" w:sz="4" w:space="0"/>
                  </w:tcBorders>
                </w:tcPr>
                <w:p w14:paraId="73235193">
                  <w:pPr>
                    <w:jc w:val="center"/>
                    <w:rPr>
                      <w:b/>
                      <w:sz w:val="24"/>
                      <w:szCs w:val="24"/>
                    </w:rPr>
                  </w:pPr>
                  <w:r>
                    <w:rPr>
                      <w:b/>
                      <w:sz w:val="24"/>
                      <w:szCs w:val="24"/>
                    </w:rPr>
                    <w:t xml:space="preserve">PREGÃO ELETRÔNICO N.º </w:t>
                  </w:r>
                  <w:r>
                    <w:rPr>
                      <w:rFonts w:hint="default"/>
                      <w:b/>
                      <w:sz w:val="24"/>
                      <w:szCs w:val="24"/>
                      <w:lang w:val="pt-BR"/>
                    </w:rPr>
                    <w:t>73</w:t>
                  </w:r>
                  <w:r>
                    <w:rPr>
                      <w:b/>
                      <w:sz w:val="24"/>
                      <w:szCs w:val="24"/>
                    </w:rPr>
                    <w:t>/2025</w:t>
                  </w:r>
                </w:p>
                <w:p w14:paraId="2CFD56A3">
                  <w:pPr>
                    <w:jc w:val="center"/>
                    <w:rPr>
                      <w:b/>
                      <w:sz w:val="24"/>
                      <w:szCs w:val="24"/>
                    </w:rPr>
                  </w:pPr>
                  <w:r>
                    <w:rPr>
                      <w:b/>
                      <w:sz w:val="24"/>
                      <w:szCs w:val="24"/>
                    </w:rPr>
                    <w:t xml:space="preserve">Processo n.º </w:t>
                  </w:r>
                  <w:r>
                    <w:rPr>
                      <w:rFonts w:hint="default"/>
                      <w:b/>
                      <w:sz w:val="24"/>
                      <w:szCs w:val="24"/>
                      <w:highlight w:val="yellow"/>
                      <w:lang w:val="pt-BR"/>
                    </w:rPr>
                    <w:t>532</w:t>
                  </w:r>
                  <w:r>
                    <w:rPr>
                      <w:b/>
                      <w:sz w:val="24"/>
                      <w:szCs w:val="24"/>
                      <w:highlight w:val="yellow"/>
                    </w:rPr>
                    <w:t>/2025</w:t>
                  </w:r>
                </w:p>
              </w:tc>
            </w:tr>
          </w:tbl>
          <w:p w14:paraId="008DF52F">
            <w:pPr>
              <w:jc w:val="both"/>
              <w:rPr>
                <w:b/>
                <w:sz w:val="24"/>
                <w:szCs w:val="24"/>
              </w:rPr>
            </w:pPr>
          </w:p>
          <w:p w14:paraId="6103B369">
            <w:pPr>
              <w:jc w:val="both"/>
              <w:rPr>
                <w:b/>
                <w:sz w:val="24"/>
                <w:szCs w:val="24"/>
              </w:rPr>
            </w:pPr>
          </w:p>
        </w:tc>
      </w:tr>
    </w:tbl>
    <w:p w14:paraId="7648073B">
      <w:pPr>
        <w:jc w:val="both"/>
        <w:rPr>
          <w:sz w:val="24"/>
          <w:szCs w:val="24"/>
        </w:rPr>
      </w:pPr>
    </w:p>
    <w:tbl>
      <w:tblPr>
        <w:tblStyle w:val="12"/>
        <w:tblW w:w="9634" w:type="dxa"/>
        <w:tblInd w:w="0" w:type="dxa"/>
        <w:tblLayout w:type="fixed"/>
        <w:tblCellMar>
          <w:top w:w="0" w:type="dxa"/>
          <w:left w:w="108" w:type="dxa"/>
          <w:bottom w:w="0" w:type="dxa"/>
          <w:right w:w="108" w:type="dxa"/>
        </w:tblCellMar>
      </w:tblPr>
      <w:tblGrid>
        <w:gridCol w:w="9634"/>
      </w:tblGrid>
      <w:tr w14:paraId="724A602E">
        <w:tblPrEx>
          <w:tblCellMar>
            <w:top w:w="0" w:type="dxa"/>
            <w:left w:w="108" w:type="dxa"/>
            <w:bottom w:w="0" w:type="dxa"/>
            <w:right w:w="108" w:type="dxa"/>
          </w:tblCellMar>
        </w:tblPrEx>
        <w:tc>
          <w:tcPr>
            <w:tcW w:w="9634" w:type="dxa"/>
            <w:tcBorders>
              <w:top w:val="single" w:color="000000" w:sz="4" w:space="0"/>
              <w:left w:val="single" w:color="000000" w:sz="4" w:space="0"/>
              <w:bottom w:val="single" w:color="000000" w:sz="4" w:space="0"/>
              <w:right w:val="single" w:color="000000" w:sz="4" w:space="0"/>
            </w:tcBorders>
          </w:tcPr>
          <w:p w14:paraId="444A524D">
            <w:pPr>
              <w:snapToGrid w:val="0"/>
              <w:jc w:val="both"/>
              <w:rPr>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1AF35489">
              <w:tblPrEx>
                <w:tblCellMar>
                  <w:top w:w="0" w:type="dxa"/>
                  <w:left w:w="108" w:type="dxa"/>
                  <w:bottom w:w="0" w:type="dxa"/>
                  <w:right w:w="108" w:type="dxa"/>
                </w:tblCellMar>
              </w:tblPrEx>
              <w:tc>
                <w:tcPr>
                  <w:tcW w:w="9373" w:type="dxa"/>
                  <w:tcBorders>
                    <w:top w:val="single" w:color="000000" w:sz="4" w:space="0"/>
                    <w:left w:val="single" w:color="000000" w:sz="4" w:space="0"/>
                    <w:bottom w:val="single" w:color="000000" w:sz="4" w:space="0"/>
                    <w:right w:val="single" w:color="000000" w:sz="4" w:space="0"/>
                  </w:tcBorders>
                </w:tcPr>
                <w:p w14:paraId="72443527">
                  <w:pPr>
                    <w:snapToGrid w:val="0"/>
                    <w:jc w:val="both"/>
                    <w:rPr>
                      <w:sz w:val="24"/>
                      <w:szCs w:val="24"/>
                    </w:rPr>
                  </w:pPr>
                </w:p>
                <w:p w14:paraId="3DB80990">
                  <w:pPr>
                    <w:ind w:left="29"/>
                    <w:jc w:val="both"/>
                    <w:rPr>
                      <w:sz w:val="24"/>
                      <w:szCs w:val="24"/>
                    </w:rPr>
                  </w:pPr>
                  <w:r>
                    <w:rPr>
                      <w:color w:val="000000"/>
                      <w:sz w:val="24"/>
                      <w:szCs w:val="24"/>
                    </w:rPr>
                    <w:t xml:space="preserve">O Presente </w:t>
                  </w:r>
                  <w:r>
                    <w:rPr>
                      <w:b/>
                      <w:color w:val="000000"/>
                      <w:sz w:val="24"/>
                      <w:szCs w:val="24"/>
                    </w:rPr>
                    <w:t>Pregão Eletrônico</w:t>
                  </w:r>
                  <w:r>
                    <w:rPr>
                      <w:color w:val="000000"/>
                      <w:sz w:val="24"/>
                      <w:szCs w:val="24"/>
                    </w:rPr>
                    <w:t xml:space="preserve"> tem por objeto: </w:t>
                  </w:r>
                  <w:r>
                    <w:rPr>
                      <w:b/>
                      <w:color w:val="000000"/>
                      <w:sz w:val="24"/>
                      <w:szCs w:val="24"/>
                    </w:rPr>
                    <w:t>Registro de Preço para a prestação de serviços de fiscalização eletrônica automática de infrações de trânsito, compreendendo o monitoramento, registro, armazenamento e processamento de informações e imagens relativas a infrações de avanço de sinal vermelho e parada sobre faixa de pedestres em cruzamentos semafóricos, bem como, conforme configuração dos equipamentos e necessidade da Secretaria Municipal de Mobilidade Urbana (</w:t>
                  </w:r>
                  <w:r>
                    <w:rPr>
                      <w:b/>
                      <w:color w:val="000000"/>
                      <w:sz w:val="24"/>
                      <w:szCs w:val="24"/>
                      <w:highlight w:val="yellow"/>
                    </w:rPr>
                    <w:t>SEMOB</w:t>
                  </w:r>
                  <w:r>
                    <w:rPr>
                      <w:b/>
                      <w:color w:val="000000"/>
                      <w:sz w:val="24"/>
                      <w:szCs w:val="24"/>
                    </w:rPr>
                    <w:t>) de Rondonópolis-MT, a fiscalização de excesso de velocidade.</w:t>
                  </w:r>
                  <w:r>
                    <w:rPr>
                      <w:color w:val="000000"/>
                      <w:sz w:val="24"/>
                      <w:szCs w:val="24"/>
                    </w:rPr>
                    <w:t xml:space="preserve"> Conforme condições, especificações e quantitativos estabelecidos no edital e seus anexos</w:t>
                  </w:r>
                  <w:r>
                    <w:rPr>
                      <w:sz w:val="24"/>
                      <w:szCs w:val="24"/>
                    </w:rPr>
                    <w:t>.</w:t>
                  </w:r>
                </w:p>
                <w:p w14:paraId="58539E78">
                  <w:pPr>
                    <w:ind w:left="284" w:right="99"/>
                    <w:jc w:val="both"/>
                    <w:rPr>
                      <w:sz w:val="24"/>
                      <w:szCs w:val="24"/>
                    </w:rPr>
                  </w:pPr>
                </w:p>
              </w:tc>
            </w:tr>
          </w:tbl>
          <w:p w14:paraId="03FED7AD">
            <w:pPr>
              <w:jc w:val="both"/>
              <w:rPr>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573E97C0">
              <w:tblPrEx>
                <w:tblCellMar>
                  <w:top w:w="0" w:type="dxa"/>
                  <w:left w:w="108" w:type="dxa"/>
                  <w:bottom w:w="0" w:type="dxa"/>
                  <w:right w:w="108" w:type="dxa"/>
                </w:tblCellMar>
              </w:tblPrEx>
              <w:tc>
                <w:tcPr>
                  <w:tcW w:w="9373" w:type="dxa"/>
                  <w:tcBorders>
                    <w:top w:val="single" w:color="000000" w:sz="4" w:space="0"/>
                    <w:left w:val="single" w:color="000000" w:sz="4" w:space="0"/>
                    <w:bottom w:val="single" w:color="000000" w:sz="4" w:space="0"/>
                    <w:right w:val="single" w:color="000000" w:sz="4" w:space="0"/>
                  </w:tcBorders>
                </w:tcPr>
                <w:p w14:paraId="37AB51EF">
                  <w:pPr>
                    <w:snapToGrid w:val="0"/>
                    <w:jc w:val="center"/>
                    <w:rPr>
                      <w:sz w:val="24"/>
                      <w:szCs w:val="24"/>
                    </w:rPr>
                  </w:pPr>
                </w:p>
                <w:p w14:paraId="42730C6D">
                  <w:pPr>
                    <w:jc w:val="center"/>
                    <w:rPr>
                      <w:sz w:val="24"/>
                      <w:szCs w:val="24"/>
                    </w:rPr>
                  </w:pPr>
                  <w:r>
                    <w:rPr>
                      <w:sz w:val="24"/>
                      <w:szCs w:val="24"/>
                    </w:rPr>
                    <w:t>SESSÃO PÚBLICA PARA RECEBIMENTO DAS PROPOSTAS E DOCUMENTOS PARA HABILITAÇÃO</w:t>
                  </w:r>
                </w:p>
                <w:p w14:paraId="52B079D4">
                  <w:pPr>
                    <w:jc w:val="center"/>
                    <w:rPr>
                      <w:sz w:val="24"/>
                      <w:szCs w:val="24"/>
                    </w:rPr>
                  </w:pPr>
                </w:p>
              </w:tc>
            </w:tr>
          </w:tbl>
          <w:p w14:paraId="17508382">
            <w:pPr>
              <w:jc w:val="both"/>
              <w:rPr>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657F41E2">
              <w:tc>
                <w:tcPr>
                  <w:tcW w:w="9373" w:type="dxa"/>
                  <w:tcBorders>
                    <w:top w:val="single" w:color="000000" w:sz="4" w:space="0"/>
                    <w:left w:val="single" w:color="000000" w:sz="4" w:space="0"/>
                    <w:bottom w:val="single" w:color="000000" w:sz="4" w:space="0"/>
                    <w:right w:val="single" w:color="000000" w:sz="4" w:space="0"/>
                  </w:tcBorders>
                </w:tcPr>
                <w:p w14:paraId="06D1D524">
                  <w:pPr>
                    <w:snapToGrid w:val="0"/>
                    <w:jc w:val="both"/>
                    <w:rPr>
                      <w:sz w:val="24"/>
                      <w:szCs w:val="24"/>
                    </w:rPr>
                  </w:pPr>
                </w:p>
                <w:p w14:paraId="3AEA816C">
                  <w:pPr>
                    <w:jc w:val="both"/>
                    <w:rPr>
                      <w:b/>
                      <w:sz w:val="24"/>
                      <w:szCs w:val="24"/>
                    </w:rPr>
                  </w:pPr>
                  <w:r>
                    <w:rPr>
                      <w:sz w:val="24"/>
                      <w:szCs w:val="24"/>
                    </w:rPr>
                    <w:t xml:space="preserve">Local: </w:t>
                  </w:r>
                  <w:r>
                    <w:fldChar w:fldCharType="begin"/>
                  </w:r>
                  <w:r>
                    <w:instrText xml:space="preserve"> HYPERLINK "http://www.bllcompras.org.br/" </w:instrText>
                  </w:r>
                  <w:r>
                    <w:fldChar w:fldCharType="separate"/>
                  </w:r>
                  <w:r>
                    <w:rPr>
                      <w:rStyle w:val="19"/>
                      <w:b/>
                      <w:sz w:val="24"/>
                      <w:szCs w:val="24"/>
                    </w:rPr>
                    <w:t>bllcompras.com</w:t>
                  </w:r>
                  <w:r>
                    <w:rPr>
                      <w:rStyle w:val="19"/>
                      <w:b/>
                      <w:sz w:val="24"/>
                      <w:szCs w:val="24"/>
                    </w:rPr>
                    <w:fldChar w:fldCharType="end"/>
                  </w:r>
                </w:p>
                <w:p w14:paraId="5173E0AE">
                  <w:pPr>
                    <w:jc w:val="both"/>
                    <w:rPr>
                      <w:b/>
                      <w:sz w:val="24"/>
                      <w:szCs w:val="24"/>
                    </w:rPr>
                  </w:pPr>
                </w:p>
              </w:tc>
            </w:tr>
          </w:tbl>
          <w:p w14:paraId="5E0F70AA">
            <w:pPr>
              <w:jc w:val="both"/>
              <w:rPr>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591CE521">
              <w:tblPrEx>
                <w:tblCellMar>
                  <w:top w:w="0" w:type="dxa"/>
                  <w:left w:w="108" w:type="dxa"/>
                  <w:bottom w:w="0" w:type="dxa"/>
                  <w:right w:w="108" w:type="dxa"/>
                </w:tblCellMar>
              </w:tblPrEx>
              <w:tc>
                <w:tcPr>
                  <w:tcW w:w="9373" w:type="dxa"/>
                  <w:tcBorders>
                    <w:top w:val="single" w:color="000000" w:sz="4" w:space="0"/>
                    <w:left w:val="single" w:color="000000" w:sz="4" w:space="0"/>
                    <w:bottom w:val="single" w:color="000000" w:sz="4" w:space="0"/>
                    <w:right w:val="single" w:color="000000" w:sz="4" w:space="0"/>
                  </w:tcBorders>
                </w:tcPr>
                <w:p w14:paraId="11620360">
                  <w:pPr>
                    <w:snapToGrid w:val="0"/>
                    <w:jc w:val="both"/>
                    <w:rPr>
                      <w:sz w:val="24"/>
                      <w:szCs w:val="24"/>
                    </w:rPr>
                  </w:pPr>
                </w:p>
                <w:p w14:paraId="782836A4">
                  <w:pPr>
                    <w:jc w:val="both"/>
                    <w:rPr>
                      <w:b/>
                      <w:sz w:val="24"/>
                      <w:szCs w:val="24"/>
                    </w:rPr>
                  </w:pPr>
                  <w:r>
                    <w:rPr>
                      <w:sz w:val="24"/>
                      <w:szCs w:val="24"/>
                    </w:rPr>
                    <w:t xml:space="preserve">Data da sessão: </w:t>
                  </w:r>
                  <w:r>
                    <w:rPr>
                      <w:rFonts w:hint="default"/>
                      <w:b/>
                      <w:sz w:val="24"/>
                      <w:szCs w:val="24"/>
                      <w:highlight w:val="yellow"/>
                      <w:lang w:val="pt-BR"/>
                    </w:rPr>
                    <w:t>15</w:t>
                  </w:r>
                  <w:r>
                    <w:rPr>
                      <w:b/>
                      <w:sz w:val="24"/>
                      <w:szCs w:val="24"/>
                      <w:highlight w:val="yellow"/>
                    </w:rPr>
                    <w:t>/</w:t>
                  </w:r>
                  <w:r>
                    <w:rPr>
                      <w:rFonts w:hint="default"/>
                      <w:b/>
                      <w:sz w:val="24"/>
                      <w:szCs w:val="24"/>
                      <w:highlight w:val="yellow"/>
                      <w:lang w:val="pt-BR"/>
                    </w:rPr>
                    <w:t>10</w:t>
                  </w:r>
                  <w:r>
                    <w:rPr>
                      <w:b/>
                      <w:sz w:val="24"/>
                      <w:szCs w:val="24"/>
                      <w:highlight w:val="yellow"/>
                    </w:rPr>
                    <w:t>/2025</w:t>
                  </w:r>
                </w:p>
                <w:p w14:paraId="39C51755">
                  <w:pPr>
                    <w:jc w:val="both"/>
                    <w:rPr>
                      <w:b/>
                      <w:color w:val="000000"/>
                      <w:sz w:val="24"/>
                      <w:szCs w:val="24"/>
                    </w:rPr>
                  </w:pPr>
                </w:p>
              </w:tc>
            </w:tr>
          </w:tbl>
          <w:p w14:paraId="448F073E">
            <w:pPr>
              <w:jc w:val="both"/>
              <w:rPr>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5306096A">
              <w:tblPrEx>
                <w:tblCellMar>
                  <w:top w:w="0" w:type="dxa"/>
                  <w:left w:w="108" w:type="dxa"/>
                  <w:bottom w:w="0" w:type="dxa"/>
                  <w:right w:w="108" w:type="dxa"/>
                </w:tblCellMar>
              </w:tblPrEx>
              <w:tc>
                <w:tcPr>
                  <w:tcW w:w="9373" w:type="dxa"/>
                  <w:tcBorders>
                    <w:top w:val="single" w:color="000000" w:sz="4" w:space="0"/>
                    <w:left w:val="single" w:color="000000" w:sz="4" w:space="0"/>
                    <w:bottom w:val="single" w:color="000000" w:sz="4" w:space="0"/>
                    <w:right w:val="single" w:color="000000" w:sz="4" w:space="0"/>
                  </w:tcBorders>
                </w:tcPr>
                <w:p w14:paraId="61291221">
                  <w:pPr>
                    <w:snapToGrid w:val="0"/>
                    <w:jc w:val="both"/>
                    <w:rPr>
                      <w:sz w:val="24"/>
                      <w:szCs w:val="24"/>
                    </w:rPr>
                  </w:pPr>
                </w:p>
                <w:p w14:paraId="7FA957EC">
                  <w:pPr>
                    <w:tabs>
                      <w:tab w:val="left" w:pos="6435"/>
                    </w:tabs>
                    <w:jc w:val="both"/>
                    <w:rPr>
                      <w:sz w:val="24"/>
                      <w:szCs w:val="24"/>
                    </w:rPr>
                  </w:pPr>
                  <w:r>
                    <w:rPr>
                      <w:sz w:val="24"/>
                      <w:szCs w:val="24"/>
                    </w:rPr>
                    <w:t xml:space="preserve">Horário: </w:t>
                  </w:r>
                  <w:r>
                    <w:rPr>
                      <w:b/>
                      <w:color w:val="000000"/>
                      <w:sz w:val="24"/>
                      <w:szCs w:val="24"/>
                    </w:rPr>
                    <w:t>09h30min – Horário de Brasília</w:t>
                  </w:r>
                  <w:r>
                    <w:rPr>
                      <w:b/>
                      <w:color w:val="000000"/>
                      <w:sz w:val="24"/>
                      <w:szCs w:val="24"/>
                    </w:rPr>
                    <w:tab/>
                  </w:r>
                </w:p>
                <w:p w14:paraId="1E9EF412">
                  <w:pPr>
                    <w:jc w:val="both"/>
                    <w:rPr>
                      <w:b/>
                      <w:color w:val="000000"/>
                      <w:sz w:val="24"/>
                      <w:szCs w:val="24"/>
                    </w:rPr>
                  </w:pPr>
                </w:p>
              </w:tc>
            </w:tr>
          </w:tbl>
          <w:p w14:paraId="15C00EE4">
            <w:pPr>
              <w:jc w:val="both"/>
              <w:rPr>
                <w:sz w:val="24"/>
                <w:szCs w:val="24"/>
              </w:rPr>
            </w:pPr>
          </w:p>
          <w:tbl>
            <w:tblPr>
              <w:tblStyle w:val="12"/>
              <w:tblW w:w="0" w:type="auto"/>
              <w:tblInd w:w="0" w:type="dxa"/>
              <w:tblLayout w:type="fixed"/>
              <w:tblCellMar>
                <w:top w:w="0" w:type="dxa"/>
                <w:left w:w="108" w:type="dxa"/>
                <w:bottom w:w="0" w:type="dxa"/>
                <w:right w:w="108" w:type="dxa"/>
              </w:tblCellMar>
            </w:tblPr>
            <w:tblGrid>
              <w:gridCol w:w="9373"/>
            </w:tblGrid>
            <w:tr w14:paraId="045134D4">
              <w:tblPrEx>
                <w:tblCellMar>
                  <w:top w:w="0" w:type="dxa"/>
                  <w:left w:w="108" w:type="dxa"/>
                  <w:bottom w:w="0" w:type="dxa"/>
                  <w:right w:w="108" w:type="dxa"/>
                </w:tblCellMar>
              </w:tblPrEx>
              <w:tc>
                <w:tcPr>
                  <w:tcW w:w="9373" w:type="dxa"/>
                  <w:tcBorders>
                    <w:top w:val="single" w:color="000000" w:sz="4" w:space="0"/>
                    <w:left w:val="single" w:color="000000" w:sz="4" w:space="0"/>
                    <w:bottom w:val="single" w:color="000000" w:sz="4" w:space="0"/>
                    <w:right w:val="single" w:color="000000" w:sz="4" w:space="0"/>
                  </w:tcBorders>
                </w:tcPr>
                <w:p w14:paraId="43C35D03">
                  <w:pPr>
                    <w:jc w:val="center"/>
                    <w:rPr>
                      <w:sz w:val="24"/>
                      <w:szCs w:val="24"/>
                    </w:rPr>
                  </w:pPr>
                  <w:r>
                    <w:rPr>
                      <w:b/>
                      <w:sz w:val="24"/>
                      <w:szCs w:val="24"/>
                    </w:rPr>
                    <w:t>CONTATO</w:t>
                  </w:r>
                </w:p>
                <w:p w14:paraId="38D41375">
                  <w:pPr>
                    <w:jc w:val="center"/>
                    <w:rPr>
                      <w:sz w:val="24"/>
                      <w:szCs w:val="24"/>
                    </w:rPr>
                  </w:pPr>
                  <w:r>
                    <w:rPr>
                      <w:b/>
                      <w:sz w:val="24"/>
                      <w:szCs w:val="24"/>
                    </w:rPr>
                    <w:t>(66) 3411 5734</w:t>
                  </w:r>
                </w:p>
                <w:p w14:paraId="3AFB4167">
                  <w:pPr>
                    <w:jc w:val="center"/>
                    <w:rPr>
                      <w:sz w:val="24"/>
                      <w:szCs w:val="24"/>
                    </w:rPr>
                  </w:pPr>
                  <w:r>
                    <w:fldChar w:fldCharType="begin"/>
                  </w:r>
                  <w:r>
                    <w:instrText xml:space="preserve"> HYPERLINK "mailto:pmrroo@hotmail.com" </w:instrText>
                  </w:r>
                  <w:r>
                    <w:fldChar w:fldCharType="separate"/>
                  </w:r>
                  <w:r>
                    <w:rPr>
                      <w:rStyle w:val="19"/>
                      <w:sz w:val="24"/>
                      <w:szCs w:val="24"/>
                    </w:rPr>
                    <w:t>pmrroo@hotmail.com</w:t>
                  </w:r>
                  <w:r>
                    <w:rPr>
                      <w:rStyle w:val="19"/>
                      <w:sz w:val="24"/>
                      <w:szCs w:val="24"/>
                    </w:rPr>
                    <w:fldChar w:fldCharType="end"/>
                  </w:r>
                </w:p>
                <w:p w14:paraId="71C7428E">
                  <w:pPr>
                    <w:jc w:val="both"/>
                    <w:rPr>
                      <w:sz w:val="24"/>
                      <w:szCs w:val="24"/>
                    </w:rPr>
                  </w:pPr>
                </w:p>
              </w:tc>
            </w:tr>
            <w:tr w14:paraId="1892F031">
              <w:tblPrEx>
                <w:tblCellMar>
                  <w:top w:w="0" w:type="dxa"/>
                  <w:left w:w="108" w:type="dxa"/>
                  <w:bottom w:w="0" w:type="dxa"/>
                  <w:right w:w="108" w:type="dxa"/>
                </w:tblCellMar>
              </w:tblPrEx>
              <w:tc>
                <w:tcPr>
                  <w:tcW w:w="9373" w:type="dxa"/>
                  <w:tcBorders>
                    <w:top w:val="single" w:color="000000" w:sz="4" w:space="0"/>
                    <w:left w:val="single" w:color="000000" w:sz="4" w:space="0"/>
                    <w:bottom w:val="single" w:color="000000" w:sz="4" w:space="0"/>
                    <w:right w:val="single" w:color="000000" w:sz="4" w:space="0"/>
                  </w:tcBorders>
                </w:tcPr>
                <w:p w14:paraId="50A9AE5C">
                  <w:pPr>
                    <w:jc w:val="center"/>
                    <w:rPr>
                      <w:b/>
                      <w:sz w:val="24"/>
                      <w:szCs w:val="24"/>
                    </w:rPr>
                  </w:pPr>
                </w:p>
              </w:tc>
            </w:tr>
          </w:tbl>
          <w:p w14:paraId="3AA1F540">
            <w:pPr>
              <w:jc w:val="both"/>
              <w:rPr>
                <w:sz w:val="24"/>
                <w:szCs w:val="24"/>
              </w:rPr>
            </w:pPr>
          </w:p>
        </w:tc>
      </w:tr>
    </w:tbl>
    <w:p w14:paraId="701C5C40">
      <w:pPr>
        <w:pStyle w:val="2"/>
        <w:rPr>
          <w:rFonts w:ascii="Arial" w:hAnsi="Arial" w:cs="Arial"/>
          <w:b/>
          <w:bCs/>
          <w:color w:val="000000" w:themeColor="text1"/>
          <w:sz w:val="24"/>
          <w:szCs w:val="24"/>
          <w14:textFill>
            <w14:solidFill>
              <w14:schemeClr w14:val="tx1"/>
            </w14:solidFill>
          </w14:textFill>
        </w:rPr>
      </w:pPr>
      <w:r>
        <w:rPr>
          <w:rFonts w:ascii="Arial" w:hAnsi="Arial" w:eastAsia="SimSun" w:cs="Arial"/>
          <w:b/>
          <w:bCs/>
          <w:color w:val="000000" w:themeColor="text1"/>
          <w:sz w:val="24"/>
          <w:szCs w:val="24"/>
          <w14:textFill>
            <w14:solidFill>
              <w14:schemeClr w14:val="tx1"/>
            </w14:solidFill>
          </w14:textFill>
        </w:rPr>
        <w:t>1. PREÂMBULO:</w:t>
      </w:r>
    </w:p>
    <w:p w14:paraId="0B0BF42C">
      <w:pPr>
        <w:rPr>
          <w:rFonts w:eastAsia="SimSun"/>
          <w:sz w:val="24"/>
          <w:szCs w:val="24"/>
        </w:rPr>
      </w:pPr>
    </w:p>
    <w:p w14:paraId="64A2E545">
      <w:pPr>
        <w:numPr>
          <w:ilvl w:val="1"/>
          <w:numId w:val="4"/>
        </w:numPr>
        <w:suppressAutoHyphens/>
        <w:autoSpaceDE w:val="0"/>
        <w:spacing w:line="240" w:lineRule="auto"/>
        <w:jc w:val="both"/>
      </w:pPr>
      <w:r>
        <w:rPr>
          <w:b/>
          <w:bCs/>
        </w:rPr>
        <w:t xml:space="preserve">EDITAL DE LICITAÇÃO: PREGÃO ELETRÔNICO N.º </w:t>
      </w:r>
      <w:r>
        <w:rPr>
          <w:rFonts w:hint="default"/>
          <w:b/>
          <w:bCs/>
          <w:lang w:val="pt-BR"/>
        </w:rPr>
        <w:t>73</w:t>
      </w:r>
      <w:r>
        <w:rPr>
          <w:b/>
          <w:bCs/>
        </w:rPr>
        <w:t xml:space="preserve">/2025, PROCESSO Nº </w:t>
      </w:r>
      <w:r>
        <w:rPr>
          <w:rFonts w:hint="default"/>
          <w:b/>
          <w:bCs/>
          <w:lang w:val="pt-BR"/>
        </w:rPr>
        <w:t>532</w:t>
      </w:r>
      <w:r>
        <w:rPr>
          <w:b/>
          <w:bCs/>
        </w:rPr>
        <w:t>/2025.</w:t>
      </w:r>
    </w:p>
    <w:p w14:paraId="58426520">
      <w:pPr>
        <w:autoSpaceDE w:val="0"/>
        <w:jc w:val="both"/>
        <w:rPr>
          <w:b/>
          <w:bCs/>
        </w:rPr>
      </w:pPr>
    </w:p>
    <w:p w14:paraId="062E6D65">
      <w:pPr>
        <w:autoSpaceDE w:val="0"/>
        <w:jc w:val="both"/>
      </w:pPr>
      <w:r>
        <w:rPr>
          <w:b/>
          <w:bCs/>
        </w:rPr>
        <w:t>1.2. CRITÉRIO DE JULGAMENTO DA LICITAÇÃO</w:t>
      </w:r>
      <w:r>
        <w:rPr>
          <w:rFonts w:eastAsia="SimSun"/>
          <w:kern w:val="2"/>
        </w:rPr>
        <w:t xml:space="preserve">: </w:t>
      </w:r>
    </w:p>
    <w:p w14:paraId="3E277D54">
      <w:pPr>
        <w:ind w:left="284" w:right="99"/>
        <w:jc w:val="both"/>
        <w:rPr>
          <w:rFonts w:eastAsia="SimSun"/>
          <w:b/>
          <w:bCs/>
          <w:kern w:val="2"/>
        </w:rPr>
      </w:pPr>
    </w:p>
    <w:p w14:paraId="0BFFDDDB">
      <w:pPr>
        <w:ind w:left="284" w:right="99"/>
        <w:jc w:val="both"/>
      </w:pPr>
      <w:r>
        <w:rPr>
          <w:b/>
          <w:bCs/>
        </w:rPr>
        <w:t xml:space="preserve">1.2.1. </w:t>
      </w:r>
      <w:r>
        <w:rPr>
          <w:b/>
        </w:rPr>
        <w:t>MENOR PREÇO GLOBAL POR LOTE</w:t>
      </w:r>
    </w:p>
    <w:p w14:paraId="71EEC1F8">
      <w:pPr>
        <w:autoSpaceDE w:val="0"/>
        <w:ind w:left="284"/>
        <w:rPr>
          <w:b/>
          <w:bCs/>
        </w:rPr>
      </w:pPr>
    </w:p>
    <w:p w14:paraId="6F9435C3">
      <w:pPr>
        <w:autoSpaceDE w:val="0"/>
        <w:jc w:val="both"/>
      </w:pPr>
      <w:r>
        <w:rPr>
          <w:b/>
          <w:bCs/>
        </w:rPr>
        <w:t>1.3. Data:</w:t>
      </w:r>
      <w:r>
        <w:rPr>
          <w:bCs/>
        </w:rPr>
        <w:t xml:space="preserve"> </w:t>
      </w:r>
      <w:r>
        <w:rPr>
          <w:rFonts w:hint="default"/>
          <w:b/>
          <w:bCs/>
          <w:highlight w:val="yellow"/>
          <w:lang w:val="pt-BR"/>
        </w:rPr>
        <w:t>15</w:t>
      </w:r>
      <w:r>
        <w:rPr>
          <w:b/>
          <w:bCs/>
          <w:highlight w:val="yellow"/>
        </w:rPr>
        <w:t>/</w:t>
      </w:r>
      <w:r>
        <w:rPr>
          <w:rFonts w:hint="default"/>
          <w:b/>
          <w:bCs/>
          <w:highlight w:val="yellow"/>
          <w:lang w:val="pt-BR"/>
        </w:rPr>
        <w:t>10</w:t>
      </w:r>
      <w:r>
        <w:rPr>
          <w:b/>
          <w:bCs/>
          <w:highlight w:val="yellow"/>
        </w:rPr>
        <w:t>/2025</w:t>
      </w:r>
      <w:r>
        <w:rPr>
          <w:b/>
          <w:bCs/>
          <w:color w:val="000000"/>
        </w:rPr>
        <w:t>,</w:t>
      </w:r>
      <w:r>
        <w:rPr>
          <w:b/>
          <w:bCs/>
        </w:rPr>
        <w:t xml:space="preserve"> Horário Brasília: </w:t>
      </w:r>
      <w:r>
        <w:rPr>
          <w:b/>
          <w:bCs/>
          <w:color w:val="000000"/>
        </w:rPr>
        <w:t>09:30hs</w:t>
      </w:r>
      <w:r>
        <w:rPr>
          <w:b/>
          <w:bCs/>
        </w:rPr>
        <w:t xml:space="preserve">, </w:t>
      </w:r>
      <w:r>
        <w:rPr>
          <w:bCs/>
        </w:rPr>
        <w:t>Endereço:</w:t>
      </w:r>
      <w:r>
        <w:rPr>
          <w:b/>
          <w:bCs/>
        </w:rPr>
        <w:t xml:space="preserve"> </w:t>
      </w:r>
      <w:r>
        <w:rPr>
          <w:b/>
        </w:rPr>
        <w:t xml:space="preserve">Prefeitura Municipal de Rondonópolis </w:t>
      </w:r>
      <w:r>
        <w:t>-</w:t>
      </w:r>
      <w:r>
        <w:rPr>
          <w:b/>
        </w:rPr>
        <w:t xml:space="preserve"> </w:t>
      </w:r>
      <w:r>
        <w:t>Estado de Mato Grosso</w:t>
      </w:r>
      <w:r>
        <w:rPr>
          <w:b/>
        </w:rPr>
        <w:t xml:space="preserve">, </w:t>
      </w:r>
      <w:r>
        <w:t>Avenida Duque de Caxias n.º 1.000, CEP: 78.740-022, Bairro: Vila Aurora -</w:t>
      </w:r>
      <w:r>
        <w:rPr>
          <w:b/>
        </w:rPr>
        <w:t xml:space="preserve"> Sala de Licitações – PISO SUPERIOR.</w:t>
      </w:r>
    </w:p>
    <w:p w14:paraId="23DF5E9F">
      <w:pPr>
        <w:autoSpaceDE w:val="0"/>
        <w:ind w:left="284"/>
        <w:jc w:val="both"/>
        <w:rPr>
          <w:b/>
        </w:rPr>
      </w:pPr>
    </w:p>
    <w:p w14:paraId="4B3DB913">
      <w:pPr>
        <w:jc w:val="both"/>
      </w:pPr>
      <w:r>
        <w:rPr>
          <w:b/>
        </w:rPr>
        <w:t>1.4.</w:t>
      </w:r>
      <w:r>
        <w:t xml:space="preserve"> O Pregão Eletrônico será realizado em sessão pública, por meio da INTERNET, mediante condições de segurança – criptografia e autenticação em todas as suas fases. Os trabalhos serão conduzidos por servidor integrante do quadro efetivo da Prefeitura Municipal, denominado </w:t>
      </w:r>
      <w:r>
        <w:rPr>
          <w:b/>
        </w:rPr>
        <w:t>Pregoeiro</w:t>
      </w:r>
      <w:r>
        <w:t xml:space="preserve">, mediante a inserção e monitoramento de dados gerados ou transferidos para o aplicativo, constante da página eletrônica da </w:t>
      </w:r>
      <w:r>
        <w:rPr>
          <w:b/>
        </w:rPr>
        <w:t xml:space="preserve">BLL– Bolsa de Licitações e Leilões: </w:t>
      </w:r>
      <w:r>
        <w:fldChar w:fldCharType="begin"/>
      </w:r>
      <w:r>
        <w:instrText xml:space="preserve"> HYPERLINK "http://www.bllcompras.org.br/" </w:instrText>
      </w:r>
      <w:r>
        <w:fldChar w:fldCharType="separate"/>
      </w:r>
      <w:r>
        <w:rPr>
          <w:rStyle w:val="19"/>
          <w:b/>
        </w:rPr>
        <w:t>bllcompras.com</w:t>
      </w:r>
      <w:r>
        <w:rPr>
          <w:rStyle w:val="19"/>
          <w:b/>
        </w:rPr>
        <w:fldChar w:fldCharType="end"/>
      </w:r>
      <w:r>
        <w:t xml:space="preserve">. </w:t>
      </w:r>
    </w:p>
    <w:p w14:paraId="19F1FA67">
      <w:pPr>
        <w:ind w:left="284"/>
        <w:jc w:val="both"/>
      </w:pPr>
    </w:p>
    <w:p w14:paraId="731FF57E">
      <w:pPr>
        <w:jc w:val="both"/>
      </w:pPr>
      <w:r>
        <w:rPr>
          <w:b/>
        </w:rPr>
        <w:t>1.5.</w:t>
      </w:r>
      <w:r>
        <w:t xml:space="preserve"> O número da Licitação no </w:t>
      </w:r>
      <w:r>
        <w:rPr>
          <w:b/>
        </w:rPr>
        <w:t xml:space="preserve">site da BLL é Pregão Eletrônico n.º </w:t>
      </w:r>
      <w:r>
        <w:rPr>
          <w:rFonts w:hint="default"/>
          <w:b/>
          <w:lang w:val="pt-BR"/>
        </w:rPr>
        <w:t>73</w:t>
      </w:r>
      <w:r>
        <w:rPr>
          <w:b/>
        </w:rPr>
        <w:t xml:space="preserve">/2025 e Processo n.º </w:t>
      </w:r>
      <w:r>
        <w:rPr>
          <w:rFonts w:hint="default"/>
          <w:b/>
          <w:lang w:val="pt-BR"/>
        </w:rPr>
        <w:t>532</w:t>
      </w:r>
      <w:r>
        <w:rPr>
          <w:b/>
        </w:rPr>
        <w:t>/2025</w:t>
      </w:r>
      <w:r>
        <w:t xml:space="preserve"> e nome utilizado é </w:t>
      </w:r>
      <w:r>
        <w:rPr>
          <w:b/>
        </w:rPr>
        <w:t>Prefeitura Municipal de Rondonópolis – MT.</w:t>
      </w:r>
    </w:p>
    <w:p w14:paraId="2C19C5D5">
      <w:pPr>
        <w:ind w:right="99"/>
        <w:jc w:val="both"/>
        <w:rPr>
          <w:b/>
          <w:bCs/>
        </w:rPr>
      </w:pPr>
    </w:p>
    <w:p w14:paraId="73C734F2">
      <w:pPr>
        <w:ind w:right="99"/>
        <w:jc w:val="both"/>
      </w:pPr>
      <w:r>
        <w:rPr>
          <w:b/>
          <w:bCs/>
        </w:rPr>
        <w:t xml:space="preserve">1.6. FUNDAMENTO LEGAL: </w:t>
      </w:r>
      <w:r>
        <w:rPr>
          <w:bCs/>
        </w:rPr>
        <w:t>O</w:t>
      </w:r>
      <w:r>
        <w:t xml:space="preserve"> Município de Rondonópolis, Estado de Mato Grosso, mediante ao (a) Pregoeiro (a) e Equipe de Apoio, designada Portaria nº </w:t>
      </w:r>
      <w:r>
        <w:rPr>
          <w:rFonts w:hint="default"/>
          <w:lang w:val="pt-BR"/>
        </w:rPr>
        <w:t>40</w:t>
      </w:r>
      <w:r>
        <w:t>.</w:t>
      </w:r>
      <w:r>
        <w:rPr>
          <w:rFonts w:hint="default"/>
          <w:lang w:val="pt-BR"/>
        </w:rPr>
        <w:t>019</w:t>
      </w:r>
      <w:r>
        <w:t xml:space="preserve"> de 2</w:t>
      </w:r>
      <w:r>
        <w:rPr>
          <w:rFonts w:hint="default"/>
          <w:lang w:val="pt-BR"/>
        </w:rPr>
        <w:t>2</w:t>
      </w:r>
      <w:r>
        <w:t xml:space="preserve"> de </w:t>
      </w:r>
      <w:r>
        <w:rPr>
          <w:rFonts w:hint="default"/>
          <w:lang w:val="pt-BR"/>
        </w:rPr>
        <w:t xml:space="preserve">setembro </w:t>
      </w:r>
      <w:r>
        <w:t xml:space="preserve">de 2025 torna público para conhecimento dos interessados que esta licitação é regida </w:t>
      </w:r>
      <w:r>
        <w:rPr>
          <w:color w:val="000000"/>
        </w:rPr>
        <w:t xml:space="preserve">nos termos da </w:t>
      </w:r>
      <w:r>
        <w:rPr>
          <w:b/>
        </w:rPr>
        <w:t xml:space="preserve">Lei nº 14.133, de 1º de abril de 2021, inciso XX do artigo 6º;§ 1º do artigo 18; Decreto nº 11.685, Lei nº14.061/2025 </w:t>
      </w:r>
      <w:r>
        <w:t xml:space="preserve">e </w:t>
      </w:r>
      <w:r>
        <w:rPr>
          <w:b/>
        </w:rPr>
        <w:t>Decreto nº 12.608/2025,</w:t>
      </w:r>
      <w:r>
        <w:t xml:space="preserve"> e demais legislação aplicável e, ainda, de acordo com as condições estabelecidas neste Edital.</w:t>
      </w:r>
    </w:p>
    <w:p w14:paraId="3C472D70">
      <w:pPr>
        <w:jc w:val="both"/>
      </w:pPr>
    </w:p>
    <w:p w14:paraId="2364AB7C">
      <w:pPr>
        <w:rPr>
          <w:rFonts w:eastAsia="SimSun"/>
          <w:b/>
          <w:bCs/>
          <w:color w:val="000000" w:themeColor="text1"/>
          <w:sz w:val="24"/>
          <w:szCs w:val="24"/>
          <w14:textFill>
            <w14:solidFill>
              <w14:schemeClr w14:val="tx1"/>
            </w14:solidFill>
          </w14:textFill>
        </w:rPr>
      </w:pPr>
      <w:bookmarkStart w:id="0" w:name="__RefHeading___Toc190782008"/>
      <w:bookmarkEnd w:id="0"/>
    </w:p>
    <w:p w14:paraId="11A6EF8B">
      <w:pPr>
        <w:pStyle w:val="2"/>
        <w:autoSpaceDE w:val="0"/>
        <w:spacing w:before="0" w:after="0"/>
        <w:rPr>
          <w:rFonts w:ascii="Arial" w:hAnsi="Arial" w:cs="Arial"/>
          <w:b/>
          <w:bCs/>
          <w:color w:val="000000" w:themeColor="text1"/>
          <w:sz w:val="24"/>
          <w:szCs w:val="24"/>
          <w14:textFill>
            <w14:solidFill>
              <w14:schemeClr w14:val="tx1"/>
            </w14:solidFill>
          </w14:textFill>
        </w:rPr>
      </w:pPr>
      <w:r>
        <w:rPr>
          <w:rFonts w:ascii="Arial" w:hAnsi="Arial" w:eastAsia="SimSun" w:cs="Arial"/>
          <w:b/>
          <w:bCs/>
          <w:color w:val="000000" w:themeColor="text1"/>
          <w:sz w:val="24"/>
          <w:szCs w:val="24"/>
          <w14:textFill>
            <w14:solidFill>
              <w14:schemeClr w14:val="tx1"/>
            </w14:solidFill>
          </w14:textFill>
        </w:rPr>
        <w:t>2. DO OBJETO:</w:t>
      </w:r>
    </w:p>
    <w:p w14:paraId="4C405068">
      <w:pPr>
        <w:rPr>
          <w:rFonts w:eastAsia="SimSun"/>
          <w:kern w:val="2"/>
        </w:rPr>
      </w:pPr>
    </w:p>
    <w:p w14:paraId="5A59865D">
      <w:pPr>
        <w:jc w:val="both"/>
        <w:rPr>
          <w:b/>
          <w:bCs/>
          <w:color w:val="000000"/>
        </w:rPr>
      </w:pPr>
      <w:r>
        <w:rPr>
          <w:b/>
        </w:rPr>
        <w:t>2.1.</w:t>
      </w:r>
      <w:r>
        <w:t xml:space="preserve"> </w:t>
      </w:r>
      <w:r>
        <w:rPr>
          <w:b/>
          <w:bCs/>
        </w:rPr>
        <w:t>O objeto da presente licitação é o Registro de Preço para a prestação de serviços de fiscalização eletrônica automática de infrações de trânsito, compreendendo o monitoramento, registro, armazenamento e processamento de informações e imagens relativas a infrações de avanço de sinal vermelho, parada sobre faixa de pedestres em cruzamentos, bem como, conforme configuração dos equipamentos e necessidade da Secretaria Municipal de Mobilidade Urbana (SEMOB) de Rondonópolis-MT, a fiscalização de excesso de velocidade, além da instalação, manutenção e operação de sistemas de semáforos no município, em conformidade com as condições, especificações e quantitativos estabelecidos no edital e seus anexos.</w:t>
      </w:r>
    </w:p>
    <w:p w14:paraId="37847CCC">
      <w:pPr>
        <w:jc w:val="both"/>
        <w:rPr>
          <w:b/>
          <w:bCs/>
          <w:color w:val="000000"/>
        </w:rPr>
      </w:pPr>
    </w:p>
    <w:p w14:paraId="70B45DDF">
      <w:pPr>
        <w:pStyle w:val="91"/>
        <w:jc w:val="both"/>
        <w:rPr>
          <w:rFonts w:ascii="Arial" w:hAnsi="Arial" w:eastAsia="Verdana" w:cs="Arial"/>
          <w:sz w:val="22"/>
          <w:szCs w:val="22"/>
        </w:rPr>
      </w:pPr>
      <w:r>
        <w:rPr>
          <w:rFonts w:ascii="Arial" w:hAnsi="Arial" w:eastAsia="Verdana" w:cs="Arial"/>
          <w:b/>
          <w:sz w:val="22"/>
          <w:szCs w:val="22"/>
        </w:rPr>
        <w:t xml:space="preserve">2.2. </w:t>
      </w:r>
      <w:r>
        <w:rPr>
          <w:rFonts w:ascii="Arial" w:hAnsi="Arial" w:eastAsia="Verdana" w:cs="Arial"/>
          <w:sz w:val="22"/>
          <w:szCs w:val="22"/>
        </w:rPr>
        <w:t>O material a ser contratado, quantidades, especificações e o valor estimado estão descrito no quadro abaixo:</w:t>
      </w:r>
    </w:p>
    <w:p w14:paraId="1F4F0BA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p>
    <w:p w14:paraId="5A7474C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p>
    <w:tbl>
      <w:tblPr>
        <w:tblStyle w:val="4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1134"/>
        <w:gridCol w:w="3592"/>
        <w:gridCol w:w="710"/>
        <w:gridCol w:w="610"/>
        <w:gridCol w:w="1460"/>
        <w:gridCol w:w="1566"/>
      </w:tblGrid>
      <w:tr w14:paraId="475E6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562" w:type="dxa"/>
            <w:vAlign w:val="center"/>
          </w:tcPr>
          <w:p w14:paraId="052A3C7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Item</w:t>
            </w:r>
          </w:p>
        </w:tc>
        <w:tc>
          <w:tcPr>
            <w:tcW w:w="1134" w:type="dxa"/>
            <w:vAlign w:val="center"/>
          </w:tcPr>
          <w:p w14:paraId="405D826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CÓD. TCE</w:t>
            </w:r>
          </w:p>
        </w:tc>
        <w:tc>
          <w:tcPr>
            <w:tcW w:w="3592" w:type="dxa"/>
            <w:vAlign w:val="center"/>
          </w:tcPr>
          <w:p w14:paraId="5E5FC07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Descrição</w:t>
            </w:r>
          </w:p>
        </w:tc>
        <w:tc>
          <w:tcPr>
            <w:tcW w:w="710" w:type="dxa"/>
            <w:vAlign w:val="center"/>
          </w:tcPr>
          <w:p w14:paraId="1A669CE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Unidade</w:t>
            </w:r>
          </w:p>
        </w:tc>
        <w:tc>
          <w:tcPr>
            <w:tcW w:w="610" w:type="dxa"/>
            <w:vAlign w:val="center"/>
          </w:tcPr>
          <w:p w14:paraId="6D9DE1F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Qtd</w:t>
            </w:r>
          </w:p>
        </w:tc>
        <w:tc>
          <w:tcPr>
            <w:tcW w:w="1460" w:type="dxa"/>
            <w:vAlign w:val="center"/>
          </w:tcPr>
          <w:p w14:paraId="5CF2CCB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Valor Unitário Mensal</w:t>
            </w:r>
          </w:p>
        </w:tc>
        <w:tc>
          <w:tcPr>
            <w:tcW w:w="1566" w:type="dxa"/>
            <w:vAlign w:val="center"/>
          </w:tcPr>
          <w:p w14:paraId="69A3AE3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Preço Total Mês</w:t>
            </w:r>
          </w:p>
        </w:tc>
      </w:tr>
      <w:tr w14:paraId="5ABCD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562" w:type="dxa"/>
            <w:vAlign w:val="center"/>
          </w:tcPr>
          <w:p w14:paraId="0C6FE81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134" w:type="dxa"/>
            <w:vAlign w:val="center"/>
          </w:tcPr>
          <w:p w14:paraId="3C280FC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3592" w:type="dxa"/>
            <w:vAlign w:val="center"/>
          </w:tcPr>
          <w:p w14:paraId="67F11E9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710" w:type="dxa"/>
            <w:vAlign w:val="center"/>
          </w:tcPr>
          <w:p w14:paraId="282EE7D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610" w:type="dxa"/>
            <w:vAlign w:val="center"/>
          </w:tcPr>
          <w:p w14:paraId="2A80CEF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460" w:type="dxa"/>
            <w:vAlign w:val="center"/>
          </w:tcPr>
          <w:p w14:paraId="2A8FB0F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566" w:type="dxa"/>
            <w:vAlign w:val="center"/>
          </w:tcPr>
          <w:p w14:paraId="6585D80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xml:space="preserve"> </w:t>
            </w:r>
          </w:p>
        </w:tc>
      </w:tr>
      <w:tr w14:paraId="37EFA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trPr>
        <w:tc>
          <w:tcPr>
            <w:tcW w:w="562" w:type="dxa"/>
            <w:vAlign w:val="center"/>
          </w:tcPr>
          <w:p w14:paraId="1AE3A1B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1</w:t>
            </w:r>
          </w:p>
        </w:tc>
        <w:tc>
          <w:tcPr>
            <w:tcW w:w="1134" w:type="dxa"/>
            <w:vAlign w:val="center"/>
          </w:tcPr>
          <w:p w14:paraId="29BF607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265939-5</w:t>
            </w:r>
          </w:p>
        </w:tc>
        <w:tc>
          <w:tcPr>
            <w:tcW w:w="3592" w:type="dxa"/>
            <w:vAlign w:val="center"/>
          </w:tcPr>
          <w:p w14:paraId="2DE57D0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de avanço de sinal vermelho e parada sobre faixa de travessia de pedestres - não intrusivo,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tc>
        <w:tc>
          <w:tcPr>
            <w:tcW w:w="710" w:type="dxa"/>
            <w:vAlign w:val="center"/>
          </w:tcPr>
          <w:p w14:paraId="57FADC7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10" w:type="dxa"/>
            <w:vAlign w:val="center"/>
          </w:tcPr>
          <w:p w14:paraId="4DE8E0C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92</w:t>
            </w:r>
          </w:p>
        </w:tc>
        <w:tc>
          <w:tcPr>
            <w:tcW w:w="1460" w:type="dxa"/>
            <w:vAlign w:val="center"/>
          </w:tcPr>
          <w:p w14:paraId="7A031AE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4.816,67</w:t>
            </w:r>
          </w:p>
        </w:tc>
        <w:tc>
          <w:tcPr>
            <w:tcW w:w="1566" w:type="dxa"/>
            <w:vAlign w:val="center"/>
          </w:tcPr>
          <w:p w14:paraId="642D465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443.133,33</w:t>
            </w:r>
          </w:p>
        </w:tc>
      </w:tr>
      <w:tr w14:paraId="65D5F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562" w:type="dxa"/>
            <w:vAlign w:val="center"/>
          </w:tcPr>
          <w:p w14:paraId="01306B6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w:t>
            </w:r>
          </w:p>
        </w:tc>
        <w:tc>
          <w:tcPr>
            <w:tcW w:w="1134" w:type="dxa"/>
            <w:vAlign w:val="center"/>
          </w:tcPr>
          <w:p w14:paraId="3996358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8864</w:t>
            </w:r>
          </w:p>
        </w:tc>
        <w:tc>
          <w:tcPr>
            <w:tcW w:w="3592" w:type="dxa"/>
            <w:vAlign w:val="center"/>
          </w:tcPr>
          <w:p w14:paraId="52912CD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 radar de velocidade fixo com LAP - não intrusivo, através de prestação de serviços, incluso a instalação, operacionalização e a manutenção dos equipamentos, pelo prazo de 12 (doze) meses, conforme especificações técnicas.</w:t>
            </w:r>
          </w:p>
        </w:tc>
        <w:tc>
          <w:tcPr>
            <w:tcW w:w="710" w:type="dxa"/>
            <w:vAlign w:val="center"/>
          </w:tcPr>
          <w:p w14:paraId="2672893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10" w:type="dxa"/>
            <w:vAlign w:val="center"/>
          </w:tcPr>
          <w:p w14:paraId="130659D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100</w:t>
            </w:r>
          </w:p>
        </w:tc>
        <w:tc>
          <w:tcPr>
            <w:tcW w:w="1460" w:type="dxa"/>
            <w:vAlign w:val="center"/>
          </w:tcPr>
          <w:p w14:paraId="75B1980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4.850,00</w:t>
            </w:r>
          </w:p>
        </w:tc>
        <w:tc>
          <w:tcPr>
            <w:tcW w:w="1566" w:type="dxa"/>
            <w:vAlign w:val="center"/>
          </w:tcPr>
          <w:p w14:paraId="3921EEE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485.000,00</w:t>
            </w:r>
          </w:p>
        </w:tc>
      </w:tr>
      <w:tr w14:paraId="0227C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562" w:type="dxa"/>
            <w:vAlign w:val="center"/>
          </w:tcPr>
          <w:p w14:paraId="5CCB630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w:t>
            </w:r>
          </w:p>
        </w:tc>
        <w:tc>
          <w:tcPr>
            <w:tcW w:w="1134" w:type="dxa"/>
            <w:vAlign w:val="center"/>
          </w:tcPr>
          <w:p w14:paraId="01A22CD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418773-3</w:t>
            </w:r>
          </w:p>
        </w:tc>
        <w:tc>
          <w:tcPr>
            <w:tcW w:w="3592" w:type="dxa"/>
            <w:vAlign w:val="center"/>
          </w:tcPr>
          <w:p w14:paraId="459F7AF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Fornecimento de sistema de controle e monitoramento de velocidade por meio de equipamento educativo não intrusivo, com comunicação de internet via cabeamento fibra óptica, equipado com câmera para leitura OCR, alimentado por energia elétrica convencional, a ser instalado em um ponto fixo, projetado sobre a via (coluna e braço projetado em aço galvanizado), conforme especificações técnicas.</w:t>
            </w:r>
          </w:p>
        </w:tc>
        <w:tc>
          <w:tcPr>
            <w:tcW w:w="710" w:type="dxa"/>
            <w:vAlign w:val="center"/>
          </w:tcPr>
          <w:p w14:paraId="123D326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10" w:type="dxa"/>
            <w:vAlign w:val="center"/>
          </w:tcPr>
          <w:p w14:paraId="50C40C4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w:t>
            </w:r>
          </w:p>
        </w:tc>
        <w:tc>
          <w:tcPr>
            <w:tcW w:w="1460" w:type="dxa"/>
            <w:vAlign w:val="center"/>
          </w:tcPr>
          <w:p w14:paraId="0C17349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4.893,33</w:t>
            </w:r>
          </w:p>
        </w:tc>
        <w:tc>
          <w:tcPr>
            <w:tcW w:w="1566" w:type="dxa"/>
            <w:vAlign w:val="center"/>
          </w:tcPr>
          <w:p w14:paraId="71486A6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48.933,33</w:t>
            </w:r>
          </w:p>
        </w:tc>
      </w:tr>
      <w:tr w14:paraId="115F4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562" w:type="dxa"/>
            <w:vAlign w:val="center"/>
          </w:tcPr>
          <w:p w14:paraId="4B7ADD3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w:t>
            </w:r>
          </w:p>
        </w:tc>
        <w:tc>
          <w:tcPr>
            <w:tcW w:w="1134" w:type="dxa"/>
            <w:vAlign w:val="center"/>
          </w:tcPr>
          <w:p w14:paraId="43858FC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68030</w:t>
            </w:r>
          </w:p>
        </w:tc>
        <w:tc>
          <w:tcPr>
            <w:tcW w:w="3592" w:type="dxa"/>
            <w:vAlign w:val="center"/>
          </w:tcPr>
          <w:p w14:paraId="75EA8FE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tc>
        <w:tc>
          <w:tcPr>
            <w:tcW w:w="710" w:type="dxa"/>
            <w:vAlign w:val="center"/>
          </w:tcPr>
          <w:p w14:paraId="429E6D8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10" w:type="dxa"/>
            <w:vAlign w:val="center"/>
          </w:tcPr>
          <w:p w14:paraId="52DB9B5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48</w:t>
            </w:r>
          </w:p>
        </w:tc>
        <w:tc>
          <w:tcPr>
            <w:tcW w:w="1460" w:type="dxa"/>
            <w:vAlign w:val="center"/>
          </w:tcPr>
          <w:p w14:paraId="4DE3629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4.960,00</w:t>
            </w:r>
          </w:p>
        </w:tc>
        <w:tc>
          <w:tcPr>
            <w:tcW w:w="1566" w:type="dxa"/>
            <w:vAlign w:val="center"/>
          </w:tcPr>
          <w:p w14:paraId="274B5DE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238.080,00</w:t>
            </w:r>
          </w:p>
        </w:tc>
      </w:tr>
      <w:tr w14:paraId="13BB4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62" w:type="dxa"/>
            <w:vAlign w:val="center"/>
          </w:tcPr>
          <w:p w14:paraId="0FA9BA3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5</w:t>
            </w:r>
          </w:p>
        </w:tc>
        <w:tc>
          <w:tcPr>
            <w:tcW w:w="9072" w:type="dxa"/>
            <w:gridSpan w:val="6"/>
            <w:vAlign w:val="center"/>
          </w:tcPr>
          <w:p w14:paraId="5D86B42F">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r>
              <w:rPr>
                <w:b/>
                <w:bCs/>
                <w:color w:val="000000"/>
                <w:sz w:val="20"/>
                <w:szCs w:val="20"/>
              </w:rPr>
              <w:t>Software para processamento as infrações e recursos de infrações, inclusive com apoio a JARI</w:t>
            </w:r>
          </w:p>
        </w:tc>
      </w:tr>
      <w:tr w14:paraId="6AA49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7" w:hRule="atLeast"/>
        </w:trPr>
        <w:tc>
          <w:tcPr>
            <w:tcW w:w="562" w:type="dxa"/>
            <w:vAlign w:val="center"/>
          </w:tcPr>
          <w:p w14:paraId="12C68C3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5.1</w:t>
            </w:r>
          </w:p>
        </w:tc>
        <w:tc>
          <w:tcPr>
            <w:tcW w:w="1134" w:type="dxa"/>
            <w:vAlign w:val="center"/>
          </w:tcPr>
          <w:p w14:paraId="65FE97E9">
            <w:p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sz w:val="20"/>
                <w:szCs w:val="20"/>
              </w:rPr>
            </w:pPr>
            <w:r>
              <w:rPr>
                <w:color w:val="000000"/>
                <w:sz w:val="20"/>
                <w:szCs w:val="20"/>
              </w:rPr>
              <w:t>8796</w:t>
            </w:r>
          </w:p>
        </w:tc>
        <w:tc>
          <w:tcPr>
            <w:tcW w:w="3592" w:type="dxa"/>
            <w:vAlign w:val="center"/>
          </w:tcPr>
          <w:p w14:paraId="7316B5B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Disponibilizar plataforma integrada de processamento de autos de infrações, físicos e eletrônicos; devendo permitir a integração de talonários eletrônicos de outras empresas; devendo permitir a consulta de infrações, recursos, e informações pertinentes ao cidadão via web; devendo permitir integração a plataformas de outras entidades, por exemplo: Detran ou SERPRO</w:t>
            </w:r>
          </w:p>
        </w:tc>
        <w:tc>
          <w:tcPr>
            <w:tcW w:w="710" w:type="dxa"/>
            <w:vAlign w:val="center"/>
          </w:tcPr>
          <w:p w14:paraId="4946E34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10" w:type="dxa"/>
            <w:vAlign w:val="center"/>
          </w:tcPr>
          <w:p w14:paraId="3F8B2AD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460" w:type="dxa"/>
            <w:vAlign w:val="center"/>
          </w:tcPr>
          <w:p w14:paraId="58F7251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R$ 79.941,01</w:t>
            </w:r>
          </w:p>
        </w:tc>
        <w:tc>
          <w:tcPr>
            <w:tcW w:w="1566" w:type="dxa"/>
            <w:vAlign w:val="center"/>
          </w:tcPr>
          <w:p w14:paraId="1C57AD6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79.941,01</w:t>
            </w:r>
          </w:p>
        </w:tc>
      </w:tr>
      <w:tr w14:paraId="6001C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62" w:type="dxa"/>
            <w:vAlign w:val="center"/>
          </w:tcPr>
          <w:p w14:paraId="47BD209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6</w:t>
            </w:r>
          </w:p>
        </w:tc>
        <w:tc>
          <w:tcPr>
            <w:tcW w:w="6046" w:type="dxa"/>
            <w:gridSpan w:val="4"/>
            <w:vAlign w:val="center"/>
          </w:tcPr>
          <w:p w14:paraId="473FBA58">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color w:val="000000"/>
                <w:sz w:val="20"/>
                <w:szCs w:val="20"/>
              </w:rPr>
            </w:pPr>
            <w:r>
              <w:rPr>
                <w:b/>
                <w:bCs/>
                <w:color w:val="000000"/>
                <w:sz w:val="20"/>
                <w:szCs w:val="20"/>
              </w:rPr>
              <w:t>Sistemas</w:t>
            </w:r>
          </w:p>
        </w:tc>
        <w:tc>
          <w:tcPr>
            <w:tcW w:w="1460" w:type="dxa"/>
            <w:vAlign w:val="center"/>
          </w:tcPr>
          <w:p w14:paraId="72DC9151">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p>
        </w:tc>
        <w:tc>
          <w:tcPr>
            <w:tcW w:w="1566" w:type="dxa"/>
            <w:vAlign w:val="center"/>
          </w:tcPr>
          <w:p w14:paraId="12BFB7FB">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p>
        </w:tc>
      </w:tr>
      <w:tr w14:paraId="5DFC4D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62" w:type="dxa"/>
            <w:vAlign w:val="center"/>
          </w:tcPr>
          <w:p w14:paraId="6BF14FB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6.1</w:t>
            </w:r>
          </w:p>
        </w:tc>
        <w:tc>
          <w:tcPr>
            <w:tcW w:w="1134" w:type="dxa"/>
            <w:vAlign w:val="center"/>
          </w:tcPr>
          <w:p w14:paraId="238B1E7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242343-0</w:t>
            </w:r>
          </w:p>
        </w:tc>
        <w:tc>
          <w:tcPr>
            <w:tcW w:w="3592" w:type="dxa"/>
            <w:vAlign w:val="center"/>
          </w:tcPr>
          <w:p w14:paraId="2B1C2A6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 Anti Jammer</w:t>
            </w:r>
          </w:p>
        </w:tc>
        <w:tc>
          <w:tcPr>
            <w:tcW w:w="710" w:type="dxa"/>
            <w:vAlign w:val="center"/>
          </w:tcPr>
          <w:p w14:paraId="72925D5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10" w:type="dxa"/>
            <w:vAlign w:val="center"/>
          </w:tcPr>
          <w:p w14:paraId="7414DDB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102</w:t>
            </w:r>
          </w:p>
        </w:tc>
        <w:tc>
          <w:tcPr>
            <w:tcW w:w="1460" w:type="dxa"/>
            <w:vAlign w:val="center"/>
          </w:tcPr>
          <w:p w14:paraId="5F8A144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520,00</w:t>
            </w:r>
          </w:p>
        </w:tc>
        <w:tc>
          <w:tcPr>
            <w:tcW w:w="1566" w:type="dxa"/>
            <w:vAlign w:val="center"/>
          </w:tcPr>
          <w:p w14:paraId="4F3922E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53.040,00</w:t>
            </w:r>
          </w:p>
        </w:tc>
      </w:tr>
      <w:tr w14:paraId="7DB5D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562" w:type="dxa"/>
            <w:vAlign w:val="center"/>
          </w:tcPr>
          <w:p w14:paraId="333C152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6.2</w:t>
            </w:r>
          </w:p>
        </w:tc>
        <w:tc>
          <w:tcPr>
            <w:tcW w:w="1134" w:type="dxa"/>
            <w:vAlign w:val="center"/>
          </w:tcPr>
          <w:p w14:paraId="23043AF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399850-9</w:t>
            </w:r>
          </w:p>
        </w:tc>
        <w:tc>
          <w:tcPr>
            <w:tcW w:w="3592" w:type="dxa"/>
            <w:vAlign w:val="center"/>
          </w:tcPr>
          <w:p w14:paraId="74568EE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Fluxo Veicular e Estatística On-Line</w:t>
            </w:r>
          </w:p>
        </w:tc>
        <w:tc>
          <w:tcPr>
            <w:tcW w:w="710" w:type="dxa"/>
            <w:vAlign w:val="center"/>
          </w:tcPr>
          <w:p w14:paraId="37B56C8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10" w:type="dxa"/>
            <w:vAlign w:val="center"/>
          </w:tcPr>
          <w:p w14:paraId="4611D98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460" w:type="dxa"/>
            <w:vAlign w:val="center"/>
          </w:tcPr>
          <w:p w14:paraId="35D3D3E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9.800,00</w:t>
            </w:r>
          </w:p>
        </w:tc>
        <w:tc>
          <w:tcPr>
            <w:tcW w:w="1566" w:type="dxa"/>
            <w:vAlign w:val="center"/>
          </w:tcPr>
          <w:p w14:paraId="1A7460E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9.800,00</w:t>
            </w:r>
          </w:p>
        </w:tc>
      </w:tr>
      <w:tr w14:paraId="7D2A5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62" w:type="dxa"/>
            <w:vAlign w:val="center"/>
          </w:tcPr>
          <w:p w14:paraId="18DBB5C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6.3</w:t>
            </w:r>
          </w:p>
        </w:tc>
        <w:tc>
          <w:tcPr>
            <w:tcW w:w="1134" w:type="dxa"/>
            <w:vAlign w:val="center"/>
          </w:tcPr>
          <w:p w14:paraId="3FD9073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24224</w:t>
            </w:r>
          </w:p>
        </w:tc>
        <w:tc>
          <w:tcPr>
            <w:tcW w:w="3592" w:type="dxa"/>
            <w:vAlign w:val="center"/>
          </w:tcPr>
          <w:p w14:paraId="03F732E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inteligência Analítica - BI</w:t>
            </w:r>
          </w:p>
        </w:tc>
        <w:tc>
          <w:tcPr>
            <w:tcW w:w="710" w:type="dxa"/>
            <w:vAlign w:val="center"/>
          </w:tcPr>
          <w:p w14:paraId="3D68CB4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10" w:type="dxa"/>
            <w:vAlign w:val="center"/>
          </w:tcPr>
          <w:p w14:paraId="784AD98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460" w:type="dxa"/>
            <w:vAlign w:val="center"/>
          </w:tcPr>
          <w:p w14:paraId="6A86EF9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5.091,71</w:t>
            </w:r>
          </w:p>
        </w:tc>
        <w:tc>
          <w:tcPr>
            <w:tcW w:w="1566" w:type="dxa"/>
            <w:vAlign w:val="center"/>
          </w:tcPr>
          <w:p w14:paraId="55A384C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5.091,71</w:t>
            </w:r>
          </w:p>
        </w:tc>
      </w:tr>
      <w:tr w14:paraId="23B9B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562" w:type="dxa"/>
            <w:vAlign w:val="center"/>
          </w:tcPr>
          <w:p w14:paraId="1A68AB6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6.4</w:t>
            </w:r>
          </w:p>
        </w:tc>
        <w:tc>
          <w:tcPr>
            <w:tcW w:w="1134" w:type="dxa"/>
            <w:vAlign w:val="center"/>
          </w:tcPr>
          <w:p w14:paraId="3C84E23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27513</w:t>
            </w:r>
          </w:p>
        </w:tc>
        <w:tc>
          <w:tcPr>
            <w:tcW w:w="3592" w:type="dxa"/>
            <w:vAlign w:val="center"/>
          </w:tcPr>
          <w:p w14:paraId="50E82B1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Integrador para Gerenciamento de Imagens e Processamento das Informações Geradas</w:t>
            </w:r>
          </w:p>
        </w:tc>
        <w:tc>
          <w:tcPr>
            <w:tcW w:w="710" w:type="dxa"/>
            <w:vAlign w:val="center"/>
          </w:tcPr>
          <w:p w14:paraId="75CA88B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10" w:type="dxa"/>
            <w:vAlign w:val="center"/>
          </w:tcPr>
          <w:p w14:paraId="75EADEF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460" w:type="dxa"/>
            <w:vAlign w:val="center"/>
          </w:tcPr>
          <w:p w14:paraId="4E79974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43.000,00</w:t>
            </w:r>
          </w:p>
        </w:tc>
        <w:tc>
          <w:tcPr>
            <w:tcW w:w="1566" w:type="dxa"/>
            <w:vAlign w:val="center"/>
          </w:tcPr>
          <w:p w14:paraId="29AE6DD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w:t>
            </w:r>
            <w:r>
              <w:rPr>
                <w:rFonts w:hint="default"/>
                <w:color w:val="000000"/>
                <w:sz w:val="20"/>
                <w:szCs w:val="20"/>
                <w:lang w:val="pt-BR"/>
              </w:rPr>
              <w:t xml:space="preserve"> </w:t>
            </w:r>
            <w:r>
              <w:rPr>
                <w:color w:val="000000"/>
                <w:sz w:val="20"/>
                <w:szCs w:val="20"/>
              </w:rPr>
              <w:t>43.000,00</w:t>
            </w:r>
          </w:p>
        </w:tc>
      </w:tr>
    </w:tbl>
    <w:p w14:paraId="0D995619">
      <w:pPr>
        <w:pStyle w:val="91"/>
        <w:jc w:val="both"/>
        <w:rPr>
          <w:rFonts w:ascii="Arial" w:hAnsi="Arial" w:eastAsia="Verdana" w:cs="Arial"/>
          <w:b/>
          <w:sz w:val="22"/>
          <w:szCs w:val="22"/>
        </w:rPr>
      </w:pPr>
    </w:p>
    <w:p w14:paraId="58A2F6C0">
      <w:pPr>
        <w:pStyle w:val="91"/>
        <w:jc w:val="both"/>
        <w:rPr>
          <w:rFonts w:ascii="Arial" w:hAnsi="Arial" w:cs="Arial"/>
          <w:sz w:val="22"/>
          <w:szCs w:val="22"/>
        </w:rPr>
      </w:pPr>
      <w:r>
        <w:rPr>
          <w:rFonts w:ascii="Arial" w:hAnsi="Arial" w:eastAsia="Verdana" w:cs="Arial"/>
          <w:b/>
          <w:sz w:val="22"/>
          <w:szCs w:val="22"/>
        </w:rPr>
        <w:t xml:space="preserve">2.3. </w:t>
      </w:r>
      <w:r>
        <w:rPr>
          <w:rFonts w:ascii="Arial" w:hAnsi="Arial" w:cs="Arial"/>
          <w:sz w:val="22"/>
          <w:szCs w:val="22"/>
        </w:rPr>
        <w:t xml:space="preserve">Valor total estimado é de </w:t>
      </w:r>
      <w:r>
        <w:rPr>
          <w:rFonts w:ascii="Arial" w:hAnsi="Arial" w:cs="Arial"/>
          <w:b/>
          <w:bCs/>
          <w:sz w:val="22"/>
          <w:szCs w:val="22"/>
        </w:rPr>
        <w:t xml:space="preserve">R$ 16.872.232,56 (dezesseis milhões oitocentos e setenta e dois mil duzentos e trinta e dois reais e cinquenta e seis  centavos), </w:t>
      </w:r>
      <w:r>
        <w:rPr>
          <w:rFonts w:ascii="Arial" w:hAnsi="Arial" w:cs="Arial"/>
          <w:sz w:val="22"/>
          <w:szCs w:val="22"/>
        </w:rPr>
        <w:t>conforme cronograma Físico Financeiro (Anexo IX).</w:t>
      </w:r>
    </w:p>
    <w:p w14:paraId="4ABB1159">
      <w:pPr>
        <w:pStyle w:val="91"/>
        <w:jc w:val="both"/>
        <w:rPr>
          <w:b/>
        </w:rPr>
      </w:pPr>
    </w:p>
    <w:p w14:paraId="6275886C">
      <w:pPr>
        <w:pStyle w:val="91"/>
        <w:jc w:val="both"/>
        <w:rPr>
          <w:rFonts w:ascii="Arial" w:hAnsi="Arial" w:cs="Arial"/>
          <w:b/>
          <w:sz w:val="22"/>
          <w:szCs w:val="22"/>
        </w:rPr>
      </w:pPr>
      <w:r>
        <w:rPr>
          <w:rFonts w:ascii="Arial" w:hAnsi="Arial" w:cs="Arial"/>
          <w:b/>
          <w:sz w:val="22"/>
          <w:szCs w:val="22"/>
        </w:rPr>
        <w:t>2.4 ESPECIFICAÇÕES TÉCNICAS MÍNIMAS PARA TODOS OS ITENS:</w:t>
      </w:r>
    </w:p>
    <w:p w14:paraId="51FF8F0B">
      <w:pPr>
        <w:pStyle w:val="91"/>
        <w:jc w:val="both"/>
        <w:rPr>
          <w:rFonts w:ascii="Arial" w:hAnsi="Arial" w:cs="Arial"/>
          <w:b/>
          <w:sz w:val="22"/>
          <w:szCs w:val="22"/>
        </w:rPr>
      </w:pPr>
    </w:p>
    <w:p w14:paraId="541F83D8">
      <w:pPr>
        <w:pStyle w:val="91"/>
        <w:jc w:val="both"/>
        <w:rPr>
          <w:rFonts w:ascii="Arial" w:hAnsi="Arial" w:cs="Arial"/>
          <w:sz w:val="22"/>
          <w:szCs w:val="22"/>
          <w:u w:val="single"/>
        </w:rPr>
      </w:pPr>
      <w:r>
        <w:rPr>
          <w:rFonts w:ascii="Arial" w:hAnsi="Arial" w:cs="Arial"/>
          <w:b/>
          <w:sz w:val="22"/>
          <w:szCs w:val="22"/>
        </w:rPr>
        <w:t>2.4.1.</w:t>
      </w:r>
      <w:r>
        <w:rPr>
          <w:rFonts w:ascii="Arial" w:hAnsi="Arial" w:cs="Arial"/>
          <w:sz w:val="22"/>
          <w:szCs w:val="22"/>
        </w:rPr>
        <w:t xml:space="preserve"> As especificações técnicas mínimas têm como objetivo assegurar que os serviços de fiscalização eletrônica de trânsito sejam prestados em conformidade com os padrões de desempenho, qualidade, segurança e durabilidade exigidos pela Administração Pública. Tais requisitos abrangem os equipamentos, sistemas e atividades necessárias para a execução adequada dos serviços contratados, garantindo a plena eficiência das soluções ofertadas. Todas as especificações detalhadas encontram-se descritas no </w:t>
      </w:r>
      <w:r>
        <w:rPr>
          <w:rFonts w:ascii="Arial" w:hAnsi="Arial" w:cs="Arial"/>
          <w:b/>
          <w:bCs/>
          <w:sz w:val="22"/>
          <w:szCs w:val="22"/>
        </w:rPr>
        <w:t>Termo de Referência (Anexo VI)</w:t>
      </w:r>
      <w:r>
        <w:rPr>
          <w:rFonts w:ascii="Arial" w:hAnsi="Arial" w:cs="Arial"/>
          <w:sz w:val="22"/>
          <w:szCs w:val="22"/>
        </w:rPr>
        <w:t xml:space="preserve">, parte integrante e indissociável deste Edital. </w:t>
      </w:r>
    </w:p>
    <w:p w14:paraId="5811D00E">
      <w:pPr>
        <w:pStyle w:val="91"/>
        <w:jc w:val="both"/>
        <w:rPr>
          <w:rFonts w:ascii="Arial" w:hAnsi="Arial" w:cs="Arial"/>
          <w:bCs/>
          <w:sz w:val="22"/>
          <w:szCs w:val="22"/>
        </w:rPr>
      </w:pPr>
    </w:p>
    <w:p w14:paraId="3E679A14">
      <w:pPr>
        <w:pStyle w:val="91"/>
        <w:jc w:val="both"/>
        <w:rPr>
          <w:rFonts w:ascii="Arial" w:hAnsi="Arial" w:cs="Arial"/>
          <w:b/>
          <w:sz w:val="22"/>
          <w:szCs w:val="22"/>
        </w:rPr>
      </w:pPr>
      <w:r>
        <w:rPr>
          <w:rFonts w:ascii="Arial" w:hAnsi="Arial" w:cs="Arial"/>
          <w:b/>
          <w:sz w:val="22"/>
          <w:szCs w:val="22"/>
        </w:rPr>
        <w:t>2.5. ÓRGÃOS E ENTIDADES PARTICIPANTES DO REGISTRO DE PREÇO:</w:t>
      </w:r>
    </w:p>
    <w:p w14:paraId="278EC7CF">
      <w:pPr>
        <w:pStyle w:val="91"/>
        <w:jc w:val="both"/>
        <w:rPr>
          <w:rFonts w:ascii="Arial" w:hAnsi="Arial" w:eastAsia="Verdana" w:cs="Arial"/>
          <w:b/>
          <w:sz w:val="22"/>
          <w:szCs w:val="22"/>
          <w:u w:val="single"/>
        </w:rPr>
      </w:pPr>
    </w:p>
    <w:p w14:paraId="2B94222C">
      <w:pPr>
        <w:pStyle w:val="91"/>
        <w:jc w:val="both"/>
        <w:rPr>
          <w:rFonts w:ascii="Arial" w:hAnsi="Arial" w:eastAsia="Verdana" w:cs="Arial"/>
          <w:sz w:val="22"/>
          <w:szCs w:val="22"/>
          <w:u w:val="single"/>
        </w:rPr>
      </w:pPr>
      <w:r>
        <w:rPr>
          <w:rFonts w:ascii="Arial" w:hAnsi="Arial" w:eastAsia="Verdana" w:cs="Arial"/>
          <w:b/>
          <w:sz w:val="22"/>
          <w:szCs w:val="22"/>
          <w:u w:val="single"/>
        </w:rPr>
        <w:t>2.5.1.</w:t>
      </w:r>
      <w:r>
        <w:rPr>
          <w:rFonts w:ascii="Arial" w:hAnsi="Arial" w:cs="Arial"/>
          <w:sz w:val="22"/>
          <w:szCs w:val="22"/>
          <w:u w:val="single"/>
        </w:rPr>
        <w:t xml:space="preserve"> </w:t>
      </w:r>
      <w:r>
        <w:rPr>
          <w:rFonts w:ascii="Arial" w:hAnsi="Arial" w:eastAsia="Verdana" w:cs="Arial"/>
          <w:sz w:val="22"/>
          <w:szCs w:val="22"/>
          <w:u w:val="single"/>
        </w:rPr>
        <w:t>Unidade requisitante: Secretaria Municipal de Mobilidade urbana (SEMOB).</w:t>
      </w:r>
    </w:p>
    <w:p w14:paraId="6CEFC0E2">
      <w:pPr>
        <w:pStyle w:val="91"/>
        <w:jc w:val="both"/>
        <w:rPr>
          <w:rFonts w:ascii="Arial" w:hAnsi="Arial" w:cs="Arial"/>
          <w:bCs/>
          <w:sz w:val="22"/>
          <w:szCs w:val="22"/>
        </w:rPr>
      </w:pPr>
    </w:p>
    <w:p w14:paraId="44C78235">
      <w:pPr>
        <w:pStyle w:val="2"/>
        <w:autoSpaceDE w:val="0"/>
        <w:spacing w:before="0" w:after="0"/>
        <w:jc w:val="both"/>
        <w:rPr>
          <w:rFonts w:ascii="Arial" w:hAnsi="Arial" w:cs="Arial"/>
          <w:b/>
          <w:bCs/>
          <w:color w:val="000000" w:themeColor="text1"/>
          <w:sz w:val="24"/>
          <w:szCs w:val="24"/>
          <w14:textFill>
            <w14:solidFill>
              <w14:schemeClr w14:val="tx1"/>
            </w14:solidFill>
          </w14:textFill>
        </w:rPr>
      </w:pPr>
      <w:bookmarkStart w:id="1" w:name="__RefHeading___Toc190782009"/>
      <w:r>
        <w:rPr>
          <w:rFonts w:ascii="Arial" w:hAnsi="Arial" w:eastAsia="SimSun" w:cs="Arial"/>
          <w:b/>
          <w:bCs/>
          <w:color w:val="000000" w:themeColor="text1"/>
          <w:sz w:val="24"/>
          <w:szCs w:val="24"/>
          <w14:textFill>
            <w14:solidFill>
              <w14:schemeClr w14:val="tx1"/>
            </w14:solidFill>
          </w14:textFill>
        </w:rPr>
        <w:t>3. DA REFERÊNCIA DE HORÁRIO NO EDITAL E DOS PROCEDIMENTOS INICIAIS:</w:t>
      </w:r>
      <w:bookmarkEnd w:id="1"/>
      <w:r>
        <w:rPr>
          <w:rFonts w:ascii="Arial" w:hAnsi="Arial" w:eastAsia="SimSun" w:cs="Arial"/>
          <w:b/>
          <w:bCs/>
          <w:color w:val="000000" w:themeColor="text1"/>
          <w:sz w:val="24"/>
          <w:szCs w:val="24"/>
          <w14:textFill>
            <w14:solidFill>
              <w14:schemeClr w14:val="tx1"/>
            </w14:solidFill>
          </w14:textFill>
        </w:rPr>
        <w:t xml:space="preserve"> </w:t>
      </w:r>
    </w:p>
    <w:p w14:paraId="34DAF882">
      <w:pPr>
        <w:jc w:val="both"/>
        <w:rPr>
          <w:rFonts w:eastAsia="SimSun"/>
          <w:kern w:val="2"/>
        </w:rPr>
      </w:pPr>
    </w:p>
    <w:p w14:paraId="4F7C511E">
      <w:pPr>
        <w:jc w:val="both"/>
      </w:pPr>
      <w:r>
        <w:rPr>
          <w:b/>
        </w:rPr>
        <w:t>3.1.</w:t>
      </w:r>
      <w:r>
        <w:t xml:space="preserve"> Todas as referências de horário no Edital, no Aviso e durante a Sessão Pública observarão obrigatoriamente o </w:t>
      </w:r>
      <w:r>
        <w:rPr>
          <w:b/>
        </w:rPr>
        <w:t>Horário de Brasília – DF</w:t>
      </w:r>
      <w:r>
        <w:t xml:space="preserve"> e, dessa forma, serão registradas no sistema eletrônico e na documentação relativa ao certame. </w:t>
      </w:r>
    </w:p>
    <w:p w14:paraId="43AF2C06">
      <w:pPr>
        <w:jc w:val="both"/>
      </w:pPr>
    </w:p>
    <w:p w14:paraId="23227302">
      <w:pPr>
        <w:tabs>
          <w:tab w:val="left" w:pos="426"/>
        </w:tabs>
        <w:jc w:val="both"/>
      </w:pPr>
      <w:r>
        <w:rPr>
          <w:b/>
        </w:rPr>
        <w:t>3.2.</w:t>
      </w:r>
      <w:r>
        <w:tab/>
      </w:r>
      <w:r>
        <w:t xml:space="preserve">Para participação da licitação ou simples acompanhamento da mesma, o interessado deverá acessar, na internet, a página bllcompras.com, onde se encontra o link para o “Acesso Identificado”; </w:t>
      </w:r>
    </w:p>
    <w:p w14:paraId="43C3124F">
      <w:pPr>
        <w:tabs>
          <w:tab w:val="left" w:pos="426"/>
        </w:tabs>
        <w:jc w:val="both"/>
      </w:pPr>
    </w:p>
    <w:p w14:paraId="2F1163F1">
      <w:pPr>
        <w:tabs>
          <w:tab w:val="left" w:pos="426"/>
        </w:tabs>
        <w:jc w:val="both"/>
      </w:pPr>
      <w:r>
        <w:rPr>
          <w:b/>
        </w:rPr>
        <w:t>3.3.</w:t>
      </w:r>
      <w:r>
        <w:tab/>
      </w:r>
      <w:r>
        <w:t xml:space="preserve">As propostas comerciais serão recebidas a partir das </w:t>
      </w:r>
      <w:r>
        <w:rPr>
          <w:rFonts w:hint="default"/>
          <w:b/>
          <w:highlight w:val="yellow"/>
          <w:lang w:val="pt-BR"/>
        </w:rPr>
        <w:t>12</w:t>
      </w:r>
      <w:r>
        <w:rPr>
          <w:b/>
          <w:highlight w:val="yellow"/>
        </w:rPr>
        <w:t xml:space="preserve">:00 do dia </w:t>
      </w:r>
      <w:r>
        <w:rPr>
          <w:rFonts w:hint="default"/>
          <w:b/>
          <w:highlight w:val="yellow"/>
          <w:lang w:val="pt-BR"/>
        </w:rPr>
        <w:t>01</w:t>
      </w:r>
      <w:r>
        <w:rPr>
          <w:b/>
          <w:highlight w:val="yellow"/>
        </w:rPr>
        <w:t>/</w:t>
      </w:r>
      <w:r>
        <w:rPr>
          <w:rFonts w:hint="default"/>
          <w:b/>
          <w:highlight w:val="yellow"/>
          <w:lang w:val="pt-BR"/>
        </w:rPr>
        <w:t>10</w:t>
      </w:r>
      <w:r>
        <w:rPr>
          <w:b/>
          <w:highlight w:val="yellow"/>
        </w:rPr>
        <w:t>/2025</w:t>
      </w:r>
      <w:r>
        <w:t xml:space="preserve"> </w:t>
      </w:r>
      <w:r>
        <w:rPr>
          <w:b/>
        </w:rPr>
        <w:t>até às 09h00 do dia</w:t>
      </w:r>
      <w:r>
        <w:t xml:space="preserve"> </w:t>
      </w:r>
      <w:r>
        <w:rPr>
          <w:rFonts w:hint="default"/>
          <w:b/>
          <w:highlight w:val="yellow"/>
          <w:lang w:val="pt-BR"/>
        </w:rPr>
        <w:t>15</w:t>
      </w:r>
      <w:r>
        <w:rPr>
          <w:b/>
          <w:highlight w:val="yellow"/>
        </w:rPr>
        <w:t>/</w:t>
      </w:r>
      <w:r>
        <w:rPr>
          <w:rFonts w:hint="default"/>
          <w:b/>
          <w:highlight w:val="yellow"/>
          <w:lang w:val="pt-BR"/>
        </w:rPr>
        <w:t>10</w:t>
      </w:r>
      <w:r>
        <w:rPr>
          <w:b/>
          <w:highlight w:val="yellow"/>
        </w:rPr>
        <w:t>/2025</w:t>
      </w:r>
      <w:r>
        <w:rPr>
          <w:highlight w:val="yellow"/>
        </w:rPr>
        <w:t>,</w:t>
      </w:r>
      <w:r>
        <w:t xml:space="preserve"> (horário de Brasília) por meio do endereço www.bllcompras.com, onde se encontra o link para o “Acesso Identificado”, podendo os interessados cadastrar ou substituir propostas no sistema eletrônico; </w:t>
      </w:r>
    </w:p>
    <w:p w14:paraId="4933EDCA">
      <w:pPr>
        <w:tabs>
          <w:tab w:val="left" w:pos="426"/>
        </w:tabs>
        <w:jc w:val="both"/>
      </w:pPr>
    </w:p>
    <w:p w14:paraId="68364508">
      <w:pPr>
        <w:tabs>
          <w:tab w:val="left" w:pos="426"/>
        </w:tabs>
        <w:jc w:val="both"/>
      </w:pPr>
      <w:r>
        <w:rPr>
          <w:b/>
        </w:rPr>
        <w:t>3.4</w:t>
      </w:r>
      <w:r>
        <w:rPr>
          <w:b/>
        </w:rPr>
        <w:tab/>
      </w:r>
      <w:r>
        <w:t xml:space="preserve">As propostas serão abertas às 09h00 do dia </w:t>
      </w:r>
      <w:r>
        <w:rPr>
          <w:rFonts w:hint="default"/>
          <w:b/>
          <w:highlight w:val="yellow"/>
          <w:lang w:val="pt-BR"/>
        </w:rPr>
        <w:t>15</w:t>
      </w:r>
      <w:r>
        <w:rPr>
          <w:b/>
          <w:highlight w:val="yellow"/>
        </w:rPr>
        <w:t>/</w:t>
      </w:r>
      <w:r>
        <w:rPr>
          <w:rFonts w:hint="default"/>
          <w:b/>
          <w:highlight w:val="yellow"/>
          <w:lang w:val="pt-BR"/>
        </w:rPr>
        <w:t>10</w:t>
      </w:r>
      <w:r>
        <w:rPr>
          <w:b/>
          <w:highlight w:val="yellow"/>
        </w:rPr>
        <w:t>/2025</w:t>
      </w:r>
      <w:r>
        <w:t xml:space="preserve"> (horário de Brasília). Mesmo horário.</w:t>
      </w:r>
    </w:p>
    <w:p w14:paraId="687881EE">
      <w:pPr>
        <w:tabs>
          <w:tab w:val="left" w:pos="426"/>
        </w:tabs>
        <w:jc w:val="both"/>
      </w:pPr>
      <w:r>
        <w:rPr>
          <w:b/>
        </w:rPr>
        <w:t>3.5.</w:t>
      </w:r>
      <w:r>
        <w:tab/>
      </w:r>
      <w:r>
        <w:t xml:space="preserve">O início da sessão de disputa de preços ocorrerá às 09h30 do dia </w:t>
      </w:r>
      <w:r>
        <w:rPr>
          <w:rFonts w:hint="default"/>
          <w:b/>
          <w:highlight w:val="yellow"/>
          <w:lang w:val="pt-BR"/>
        </w:rPr>
        <w:t>15</w:t>
      </w:r>
      <w:r>
        <w:rPr>
          <w:b/>
          <w:highlight w:val="yellow"/>
        </w:rPr>
        <w:t>/</w:t>
      </w:r>
      <w:r>
        <w:rPr>
          <w:rFonts w:hint="default"/>
          <w:b/>
          <w:highlight w:val="yellow"/>
          <w:lang w:val="pt-BR"/>
        </w:rPr>
        <w:t>10</w:t>
      </w:r>
      <w:r>
        <w:rPr>
          <w:b/>
          <w:highlight w:val="yellow"/>
        </w:rPr>
        <w:t>/2025</w:t>
      </w:r>
      <w:r>
        <w:rPr>
          <w:b/>
        </w:rPr>
        <w:t xml:space="preserve"> (</w:t>
      </w:r>
      <w:r>
        <w:t>horário de Brasília). Mesmo horário.</w:t>
      </w:r>
    </w:p>
    <w:p w14:paraId="721D6F62">
      <w:pPr>
        <w:ind w:left="284"/>
        <w:jc w:val="both"/>
      </w:pPr>
    </w:p>
    <w:p w14:paraId="6E470054">
      <w:pPr>
        <w:pStyle w:val="2"/>
        <w:autoSpaceDE w:val="0"/>
        <w:spacing w:before="0" w:after="0"/>
        <w:rPr>
          <w:rFonts w:ascii="Arial" w:hAnsi="Arial" w:cs="Arial"/>
          <w:b/>
          <w:bCs/>
          <w:color w:val="000000" w:themeColor="text1"/>
          <w:sz w:val="24"/>
          <w:szCs w:val="24"/>
          <w14:textFill>
            <w14:solidFill>
              <w14:schemeClr w14:val="tx1"/>
            </w14:solidFill>
          </w14:textFill>
        </w:rPr>
      </w:pPr>
      <w:bookmarkStart w:id="2" w:name="__RefHeading___Toc190782010"/>
      <w:r>
        <w:rPr>
          <w:rFonts w:ascii="Arial" w:hAnsi="Arial" w:eastAsia="SimSun" w:cs="Arial"/>
          <w:b/>
          <w:bCs/>
          <w:color w:val="000000" w:themeColor="text1"/>
          <w:sz w:val="24"/>
          <w:szCs w:val="24"/>
          <w14:textFill>
            <w14:solidFill>
              <w14:schemeClr w14:val="tx1"/>
            </w14:solidFill>
          </w14:textFill>
        </w:rPr>
        <w:t>4. DAS CONDIÇÕES PARA PARTICIPAÇÃO NO CERTAME:</w:t>
      </w:r>
      <w:bookmarkEnd w:id="2"/>
    </w:p>
    <w:p w14:paraId="34E48EED">
      <w:pPr>
        <w:jc w:val="both"/>
        <w:rPr>
          <w:rFonts w:eastAsia="SimSun"/>
          <w:b/>
          <w:kern w:val="2"/>
        </w:rPr>
      </w:pPr>
    </w:p>
    <w:p w14:paraId="3F4BF00A">
      <w:pPr>
        <w:jc w:val="both"/>
      </w:pPr>
      <w:r>
        <w:rPr>
          <w:b/>
        </w:rPr>
        <w:t>4.1.</w:t>
      </w:r>
      <w:r>
        <w:t xml:space="preserve"> A participação no certame se dará por meio da digitação da senha pessoal e intransferível do representante credenciado e subsequente encaminhamento da proposta de preços, exclusivamente, por meio do sistema eletrônico no site </w:t>
      </w:r>
      <w:r>
        <w:rPr>
          <w:b/>
        </w:rPr>
        <w:t>bllcompras.com</w:t>
      </w:r>
      <w:r>
        <w:t xml:space="preserve"> e ou, opção "</w:t>
      </w:r>
      <w:r>
        <w:rPr>
          <w:b/>
        </w:rPr>
        <w:t>Acesso Identificado</w:t>
      </w:r>
      <w:r>
        <w:t xml:space="preserve">", </w:t>
      </w:r>
      <w:r>
        <w:rPr>
          <w:b/>
        </w:rPr>
        <w:t>observadas a data e horário limite estabelecido neste edital</w:t>
      </w:r>
      <w:r>
        <w:rPr>
          <w:b/>
          <w:color w:val="000000"/>
        </w:rPr>
        <w:t>.</w:t>
      </w:r>
      <w:r>
        <w:rPr>
          <w:color w:val="000000"/>
        </w:rPr>
        <w:t xml:space="preserve"> (Horário de Brasília).</w:t>
      </w:r>
    </w:p>
    <w:p w14:paraId="339C0D1C">
      <w:pPr>
        <w:jc w:val="both"/>
        <w:rPr>
          <w:b/>
        </w:rPr>
      </w:pPr>
    </w:p>
    <w:p w14:paraId="6551C1FF">
      <w:pPr>
        <w:jc w:val="both"/>
      </w:pPr>
      <w:r>
        <w:rPr>
          <w:b/>
        </w:rPr>
        <w:t>4.2.</w:t>
      </w:r>
      <w:r>
        <w:t xml:space="preserve"> O licitante arcará integralmente com todos os custos de preparação e apresentação de sua proposta, independente do resultado do procedimento licitatório. </w:t>
      </w:r>
    </w:p>
    <w:p w14:paraId="0C8C34BF">
      <w:pPr>
        <w:ind w:left="426"/>
        <w:jc w:val="both"/>
        <w:rPr>
          <w:b/>
        </w:rPr>
      </w:pPr>
    </w:p>
    <w:p w14:paraId="79D04672">
      <w:pPr>
        <w:jc w:val="both"/>
      </w:pPr>
      <w:r>
        <w:rPr>
          <w:b/>
        </w:rPr>
        <w:t>4.3.</w:t>
      </w:r>
      <w:r>
        <w:t xml:space="preserve"> Somente será admitida a participação neste certame, de pessoas jurídicas, que comprovem com documentos de registros ou autorizações legais, que explorem ramo de atividade compatível com o objeto desta licitação e atendam às exigências do edital e seus anexos; </w:t>
      </w:r>
    </w:p>
    <w:p w14:paraId="462B730F">
      <w:pPr>
        <w:ind w:left="284"/>
        <w:jc w:val="both"/>
      </w:pPr>
    </w:p>
    <w:p w14:paraId="0BE9D2CE">
      <w:pPr>
        <w:jc w:val="both"/>
      </w:pPr>
      <w:r>
        <w:rPr>
          <w:b/>
        </w:rPr>
        <w:t>4.4.</w:t>
      </w:r>
      <w:r>
        <w:t xml:space="preserve">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2448DFD6">
      <w:pPr>
        <w:ind w:left="284"/>
        <w:jc w:val="both"/>
      </w:pPr>
    </w:p>
    <w:p w14:paraId="1ABFD4A9">
      <w:pPr>
        <w:ind w:left="284"/>
        <w:jc w:val="both"/>
      </w:pPr>
      <w:r>
        <w:rPr>
          <w:b/>
        </w:rPr>
        <w:t>4.4.1.</w:t>
      </w:r>
      <w:r>
        <w:t xml:space="preserve"> Poderão participar deste certame pessoas jurídicas que explorem ramo de atividade compatível e pertinente com o objeto desta licitação e atendam às exigências deste Edital e seus anexos, correndo por sua conta todos os custos decorrentes da elaboração e apresentação de suas propostas, não sendo devida nenhuma indenização aos licitantes pela realização de tais atos.</w:t>
      </w:r>
    </w:p>
    <w:p w14:paraId="4C4E088C">
      <w:pPr>
        <w:ind w:left="284"/>
        <w:jc w:val="both"/>
      </w:pPr>
    </w:p>
    <w:p w14:paraId="68AAC2B1">
      <w:pPr>
        <w:ind w:left="284"/>
        <w:jc w:val="both"/>
      </w:pPr>
      <w:r>
        <w:rPr>
          <w:b/>
          <w:color w:val="000000"/>
        </w:rPr>
        <w:t>4.4.2.</w:t>
      </w:r>
      <w:r>
        <w:rPr>
          <w:color w:val="000000"/>
        </w:rPr>
        <w:t xml:space="preserve"> Será concedido tratamento favorecido para as microempresas e empresas de pequeno porte, para as sociedades cooperativas mencionadas no </w:t>
      </w:r>
      <w:r>
        <w:fldChar w:fldCharType="begin"/>
      </w:r>
      <w:r>
        <w:instrText xml:space="preserve"> HYPERLINK "http://www.planalto.gov.br/ccivil_03/_ato2019-2022/2021/lei/L14133.htm" \l "art16" </w:instrText>
      </w:r>
      <w:r>
        <w:fldChar w:fldCharType="separate"/>
      </w:r>
      <w:r>
        <w:rPr>
          <w:rStyle w:val="19"/>
          <w:color w:val="000000"/>
        </w:rPr>
        <w:t>artigo 16 da Lei nº 14.133, de 2021</w:t>
      </w:r>
      <w:r>
        <w:rPr>
          <w:rStyle w:val="19"/>
          <w:color w:val="000000"/>
        </w:rPr>
        <w:fldChar w:fldCharType="end"/>
      </w:r>
      <w:r>
        <w:rPr>
          <w:color w:val="000000"/>
        </w:rPr>
        <w:t xml:space="preserve">, para o agricultor familiar, o produtor rural pessoa física e para o microempreendedor individual - MEI, nos limites previstos da </w:t>
      </w:r>
      <w:r>
        <w:fldChar w:fldCharType="begin"/>
      </w:r>
      <w:r>
        <w:instrText xml:space="preserve"> HYPERLINK "https://www.planalto.gov.br/ccivil_03/leis/lcp/lcp123.htm" </w:instrText>
      </w:r>
      <w:r>
        <w:fldChar w:fldCharType="separate"/>
      </w:r>
      <w:r>
        <w:rPr>
          <w:rStyle w:val="19"/>
          <w:color w:val="000000"/>
        </w:rPr>
        <w:t>Lei Complementar nº 123, de 2006</w:t>
      </w:r>
      <w:r>
        <w:rPr>
          <w:rStyle w:val="19"/>
          <w:color w:val="000000"/>
        </w:rPr>
        <w:fldChar w:fldCharType="end"/>
      </w:r>
      <w:r>
        <w:rPr>
          <w:color w:val="000000"/>
        </w:rPr>
        <w:t xml:space="preserve"> e do Decreto n.º 8.538, de 2015.</w:t>
      </w:r>
    </w:p>
    <w:p w14:paraId="79FBE65A">
      <w:pPr>
        <w:jc w:val="both"/>
        <w:rPr>
          <w:color w:val="000000"/>
        </w:rPr>
      </w:pPr>
      <w:bookmarkStart w:id="3" w:name="_Ref117000692"/>
    </w:p>
    <w:p w14:paraId="4FC0F3AB">
      <w:pPr>
        <w:jc w:val="both"/>
      </w:pPr>
      <w:r>
        <w:rPr>
          <w:b/>
          <w:color w:val="000000"/>
        </w:rPr>
        <w:t>4.5.</w:t>
      </w:r>
      <w:r>
        <w:rPr>
          <w:color w:val="000000"/>
        </w:rPr>
        <w:t xml:space="preserve"> </w:t>
      </w:r>
      <w:r>
        <w:rPr>
          <w:b/>
          <w:color w:val="000000"/>
        </w:rPr>
        <w:t>NÃO PODERÃO DISPUTAR ESTA LICITAÇÃO:</w:t>
      </w:r>
      <w:bookmarkEnd w:id="3"/>
      <w:bookmarkStart w:id="4" w:name="_Ref113883338"/>
    </w:p>
    <w:bookmarkEnd w:id="4"/>
    <w:p w14:paraId="3850D365">
      <w:pPr>
        <w:autoSpaceDE w:val="0"/>
        <w:spacing w:before="160" w:after="160"/>
        <w:ind w:left="284"/>
        <w:jc w:val="both"/>
      </w:pPr>
      <w:r>
        <w:rPr>
          <w:b/>
        </w:rPr>
        <w:t>4.5.1</w:t>
      </w:r>
      <w:r>
        <w:t>. Aquele que não atenda às condições deste Edital e seu(s) anexo(s);</w:t>
      </w:r>
    </w:p>
    <w:p w14:paraId="0FCA8F3A">
      <w:pPr>
        <w:autoSpaceDE w:val="0"/>
        <w:spacing w:before="160" w:after="160"/>
        <w:ind w:left="284"/>
        <w:jc w:val="both"/>
      </w:pPr>
      <w:r>
        <w:rPr>
          <w:b/>
        </w:rPr>
        <w:t>4.5.2.</w:t>
      </w:r>
      <w:r>
        <w:t xml:space="preserve"> Aqueles que se encontrem sob falência, concurso de credores, dissolução ou liquidação, ressalvados os que tenham plano de recuperação judicial aprovado em assembleia geral de credores e homologado pelo juiz.</w:t>
      </w:r>
    </w:p>
    <w:p w14:paraId="68E56D20">
      <w:pPr>
        <w:autoSpaceDE w:val="0"/>
        <w:spacing w:before="160" w:after="160"/>
        <w:ind w:left="284"/>
        <w:jc w:val="both"/>
      </w:pPr>
      <w:r>
        <w:rPr>
          <w:rFonts w:eastAsia="SimSun"/>
          <w:b/>
          <w:kern w:val="2"/>
        </w:rPr>
        <w:t>4.5.3. Empresas reunidas em consórcio, qualquer que seja sua forma de constituição.</w:t>
      </w:r>
    </w:p>
    <w:p w14:paraId="44984249">
      <w:pPr>
        <w:autoSpaceDE w:val="0"/>
        <w:ind w:left="426"/>
        <w:jc w:val="both"/>
      </w:pPr>
      <w:r>
        <w:rPr>
          <w:rFonts w:eastAsia="SimSun"/>
          <w:b/>
          <w:kern w:val="2"/>
        </w:rPr>
        <w:t xml:space="preserve">4.5.3.1. </w:t>
      </w:r>
      <w:r>
        <w:t>O presente edital não prevê as condições de participação de empresas reunidas em consórcio, vez que as licitações que demandam essa participação são aquelas que envolvem serviços de grande vulto e/ou de alta complexidade técnica. Como o presente edital foi elaborado com foco no dia a dia da Administração, consignou-se a vedação acima.</w:t>
      </w:r>
    </w:p>
    <w:p w14:paraId="2033C64F">
      <w:pPr>
        <w:spacing w:before="160" w:after="160"/>
        <w:ind w:left="284"/>
        <w:jc w:val="both"/>
      </w:pPr>
      <w:r>
        <w:rPr>
          <w:b/>
        </w:rPr>
        <w:t>4.5.4.</w:t>
      </w:r>
      <w:r>
        <w:t xml:space="preserve"> Organizações da Sociedade Civil de Interesse Público - OSCIP, atuando nessa condição;</w:t>
      </w:r>
    </w:p>
    <w:p w14:paraId="7D4B8BBA">
      <w:pPr>
        <w:spacing w:before="160" w:after="160"/>
        <w:ind w:left="284"/>
        <w:jc w:val="both"/>
      </w:pPr>
      <w:r>
        <w:rPr>
          <w:b/>
        </w:rPr>
        <w:t>4.5.5.</w:t>
      </w:r>
      <w:r>
        <w:t xml:space="preserve"> Empresa suspensa de licitar e contratar com a Prefeitura Municipal de Rondonópolis;</w:t>
      </w:r>
    </w:p>
    <w:p w14:paraId="563C6644">
      <w:pPr>
        <w:spacing w:before="160" w:after="160"/>
        <w:ind w:left="284"/>
        <w:jc w:val="both"/>
      </w:pPr>
      <w:r>
        <w:rPr>
          <w:b/>
        </w:rPr>
        <w:t>4.5.6.</w:t>
      </w:r>
      <w:r>
        <w:t xml:space="preserve"> Empresa que esteja declarada inidônea para licitar ou contratar com a Administração Pública, enquanto perdurarem os motivos da punição ou até que seja promovida a reabilitação perante a própria autoridade que aplicou a penalidade;</w:t>
      </w:r>
    </w:p>
    <w:p w14:paraId="662C16BE">
      <w:pPr>
        <w:spacing w:before="160" w:after="160"/>
        <w:ind w:left="284"/>
        <w:jc w:val="both"/>
      </w:pPr>
      <w:r>
        <w:rPr>
          <w:b/>
        </w:rPr>
        <w:t>4.5.7.</w:t>
      </w:r>
      <w:r>
        <w:t xml:space="preserve"> Cooperativas, exclusivamente nos casos em que o objeto do certame requer subordinação de mão de obra (Fundamentação: art. 5º da Lei 12.690/12 e acórdãos TCU 1937/03, 307/04, 1148/05);</w:t>
      </w:r>
    </w:p>
    <w:p w14:paraId="44716146">
      <w:pPr>
        <w:spacing w:before="160" w:after="160"/>
        <w:ind w:left="284"/>
        <w:jc w:val="both"/>
      </w:pPr>
      <w:r>
        <w:rPr>
          <w:b/>
        </w:rPr>
        <w:t>4.5.8.</w:t>
      </w:r>
      <w:r>
        <w:t xml:space="preserve"> Cooperativas em que seu objeto social não tem escopo com o objeto do certame. (Fundamentação: art. 10, § 2º da Lei 12.690/12).</w:t>
      </w:r>
    </w:p>
    <w:p w14:paraId="4CAD83A2">
      <w:pPr>
        <w:autoSpaceDE w:val="0"/>
        <w:spacing w:before="160" w:after="160"/>
        <w:ind w:left="284"/>
        <w:jc w:val="both"/>
      </w:pPr>
      <w:r>
        <w:rPr>
          <w:b/>
        </w:rPr>
        <w:t>4.5.9.</w:t>
      </w:r>
      <w:r>
        <w:t xml:space="preserve"> Empresas controladoras, controladas ou coligadas, nos termos da Lei Federal nº 6.404, de 15 de dezembro de 1976, concorrendo entre si;</w:t>
      </w:r>
    </w:p>
    <w:p w14:paraId="379FC973">
      <w:pPr>
        <w:autoSpaceDE w:val="0"/>
        <w:spacing w:before="160" w:after="160"/>
        <w:ind w:left="284"/>
        <w:jc w:val="both"/>
      </w:pPr>
      <w:r>
        <w:rPr>
          <w:b/>
        </w:rPr>
        <w:t>4.5.10.</w:t>
      </w:r>
      <w:r>
        <w:t xml:space="preserve"> Empresas estrangeiras que não funcionem no País.</w:t>
      </w:r>
    </w:p>
    <w:p w14:paraId="08001453">
      <w:pPr>
        <w:autoSpaceDE w:val="0"/>
        <w:spacing w:before="160" w:after="160"/>
        <w:ind w:left="284"/>
        <w:jc w:val="both"/>
      </w:pPr>
      <w:r>
        <w:rPr>
          <w:b/>
        </w:rPr>
        <w:t>4.5.11</w:t>
      </w:r>
      <w:r>
        <w:t>. Autor do anteprojeto, do projeto básico ou do projeto executivo, pessoa física ou jurídica, quando a licitação versar sobre obra, serviços ou fornecimento de bens a ele relacionados.</w:t>
      </w:r>
    </w:p>
    <w:p w14:paraId="06187BF0">
      <w:pPr>
        <w:autoSpaceDE w:val="0"/>
        <w:ind w:left="426"/>
        <w:jc w:val="both"/>
      </w:pPr>
      <w:r>
        <w:rPr>
          <w:b/>
        </w:rPr>
        <w:t>4.5.11.1.</w:t>
      </w:r>
      <w:r>
        <w:t xml:space="preserve"> Equiparam-se aos autores do projeto as empresas integrantes do mesmo grupo econômico.</w:t>
      </w:r>
    </w:p>
    <w:p w14:paraId="74575A1C">
      <w:pPr>
        <w:autoSpaceDE w:val="0"/>
        <w:spacing w:before="160" w:after="160"/>
        <w:ind w:left="284"/>
        <w:jc w:val="both"/>
      </w:pPr>
      <w:r>
        <w:rPr>
          <w:b/>
        </w:rPr>
        <w:t xml:space="preserve">4.5.12. </w:t>
      </w:r>
      <w:r>
        <w:t>Aquele que de forma isolada ou em consórcio, for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p>
    <w:p w14:paraId="5628DFA7">
      <w:pPr>
        <w:ind w:left="284"/>
        <w:jc w:val="both"/>
      </w:pPr>
      <w:r>
        <w:rPr>
          <w:b/>
        </w:rPr>
        <w:t>4.5.13.</w:t>
      </w:r>
      <w:r>
        <w:t xml:space="preserve"> A critério da Administração e exclusivamente a seu serviço, o autor dos projetos e a empresa a que se referem os itens 4.5.11 e 4.5.12 poderão participar no apoio das atividades de planejamento da contratação, de execução da licitação ou de gestão do contrato, desde que sob supervisão exclusiva de agentes públicos do órgão ou entidade.</w:t>
      </w:r>
    </w:p>
    <w:p w14:paraId="7918F0B1">
      <w:pPr>
        <w:ind w:left="284"/>
        <w:jc w:val="both"/>
      </w:pPr>
    </w:p>
    <w:p w14:paraId="4CD6AD23">
      <w:pPr>
        <w:ind w:left="284"/>
        <w:jc w:val="both"/>
      </w:pPr>
      <w:r>
        <w:rPr>
          <w:b/>
        </w:rPr>
        <w:t>4.5.14.</w:t>
      </w:r>
      <w:r>
        <w:t xml:space="preserve"> Pessoa física ou jurídica que se encontre, ao tempo da licitação, impossibilitada de participar da licitação em decorrência de sanção que lhe foi imposta, aplicado também ao licitante que atue em substituição a outra pessoa física ou jurídica, com o intuito de burlar a efetividade da sanção a ela aplicada, desde que devidamente comprovado o ilícito ou a utilização fraudulenta da personalidade jurídica do licitante.</w:t>
      </w:r>
    </w:p>
    <w:p w14:paraId="62BCF4D9">
      <w:pPr>
        <w:ind w:left="284"/>
        <w:jc w:val="both"/>
      </w:pPr>
    </w:p>
    <w:p w14:paraId="060A2092">
      <w:pPr>
        <w:ind w:left="284"/>
        <w:jc w:val="both"/>
      </w:pPr>
      <w:r>
        <w:rPr>
          <w:b/>
        </w:rPr>
        <w:t>4.5.15.</w:t>
      </w:r>
      <w:r>
        <w:t xml:space="preserve"> Aquele que mantenha vínculo de natureza técnica, comercial, econômica, financeira, trabalhista ou civil com dirigente do contratante ou com agente público que desempenhe função na licitação ou atue na fiscalização ou na gestão do contrato, ou que deles seja cônjuge, companheiro ou parente em linha reta, colateral ou por afinidade, até o terceiro grau.</w:t>
      </w:r>
    </w:p>
    <w:p w14:paraId="4D903E8E">
      <w:pPr>
        <w:ind w:left="284"/>
        <w:jc w:val="both"/>
      </w:pPr>
    </w:p>
    <w:p w14:paraId="31BCAC4C">
      <w:pPr>
        <w:ind w:left="284"/>
        <w:jc w:val="both"/>
      </w:pPr>
      <w:r>
        <w:rPr>
          <w:b/>
        </w:rPr>
        <w:t>4.5.16.</w:t>
      </w:r>
      <w:r>
        <w:t xml:space="preserve"> Pessoa física ou jurídica que, nos 05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E2AA9DD">
      <w:pPr>
        <w:ind w:left="284"/>
        <w:jc w:val="both"/>
      </w:pPr>
    </w:p>
    <w:p w14:paraId="35C35D5A">
      <w:pPr>
        <w:ind w:left="284"/>
        <w:jc w:val="both"/>
      </w:pPr>
      <w:r>
        <w:rPr>
          <w:b/>
        </w:rPr>
        <w:t>4.5.17.</w:t>
      </w:r>
      <w: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14:paraId="22E105E9">
      <w:pPr>
        <w:ind w:left="284"/>
        <w:jc w:val="both"/>
      </w:pPr>
    </w:p>
    <w:p w14:paraId="2DAC88AC">
      <w:pPr>
        <w:ind w:left="284"/>
        <w:jc w:val="both"/>
      </w:pPr>
      <w:r>
        <w:rPr>
          <w:b/>
        </w:rPr>
        <w:t>4.5.18.</w:t>
      </w:r>
      <w:r>
        <w:t xml:space="preserve"> A vedação estabelecida no item anterior estende-se a terceiro que auxilie a condução da contratação na qualidade de integrante de equipe de apoio, profissional especializado ou funcionário ou representante de empresa que preste assessoria técnica.</w:t>
      </w:r>
    </w:p>
    <w:p w14:paraId="4F03FDD5">
      <w:pPr>
        <w:ind w:left="284"/>
        <w:jc w:val="both"/>
      </w:pPr>
    </w:p>
    <w:p w14:paraId="672DBBEE">
      <w:pPr>
        <w:pStyle w:val="2"/>
        <w:autoSpaceDE w:val="0"/>
        <w:spacing w:before="0" w:after="0"/>
        <w:rPr>
          <w:rFonts w:ascii="Arial" w:hAnsi="Arial" w:cs="Arial"/>
          <w:b/>
          <w:bCs/>
          <w:color w:val="000000" w:themeColor="text1"/>
          <w:sz w:val="24"/>
          <w:szCs w:val="24"/>
          <w14:textFill>
            <w14:solidFill>
              <w14:schemeClr w14:val="tx1"/>
            </w14:solidFill>
          </w14:textFill>
        </w:rPr>
      </w:pPr>
      <w:bookmarkStart w:id="5" w:name="__RefHeading___Toc190782011"/>
      <w:r>
        <w:rPr>
          <w:rFonts w:ascii="Arial" w:hAnsi="Arial" w:eastAsia="SimSun" w:cs="Arial"/>
          <w:b/>
          <w:bCs/>
          <w:color w:val="000000" w:themeColor="text1"/>
          <w:sz w:val="24"/>
          <w:szCs w:val="24"/>
          <w14:textFill>
            <w14:solidFill>
              <w14:schemeClr w14:val="tx1"/>
            </w14:solidFill>
          </w14:textFill>
        </w:rPr>
        <w:t>5. DO CREDENCIAMENTO:</w:t>
      </w:r>
      <w:bookmarkEnd w:id="5"/>
      <w:r>
        <w:rPr>
          <w:rFonts w:ascii="Arial" w:hAnsi="Arial" w:eastAsia="SimSun" w:cs="Arial"/>
          <w:b/>
          <w:bCs/>
          <w:color w:val="000000" w:themeColor="text1"/>
          <w:sz w:val="24"/>
          <w:szCs w:val="24"/>
          <w14:textFill>
            <w14:solidFill>
              <w14:schemeClr w14:val="tx1"/>
            </w14:solidFill>
          </w14:textFill>
        </w:rPr>
        <w:t xml:space="preserve"> </w:t>
      </w:r>
    </w:p>
    <w:p w14:paraId="608F7459">
      <w:pPr>
        <w:jc w:val="both"/>
        <w:rPr>
          <w:rFonts w:eastAsia="SimSun"/>
          <w:kern w:val="2"/>
        </w:rPr>
      </w:pPr>
    </w:p>
    <w:p w14:paraId="7A6F60D5">
      <w:pPr>
        <w:jc w:val="both"/>
      </w:pPr>
      <w:r>
        <w:rPr>
          <w:b/>
        </w:rPr>
        <w:t>5.1.</w:t>
      </w:r>
      <w:r>
        <w:t xml:space="preserve"> Para participação da licitação ou simples acompanhá-la, o interessado deverá acessar, na internet, a página </w:t>
      </w:r>
      <w:r>
        <w:rPr>
          <w:b/>
        </w:rPr>
        <w:t>bllcompras.com</w:t>
      </w:r>
      <w:r>
        <w:t>, onde se encontra o link para o “</w:t>
      </w:r>
      <w:r>
        <w:rPr>
          <w:b/>
        </w:rPr>
        <w:t>Acesso Identificado</w:t>
      </w:r>
      <w:r>
        <w:t xml:space="preserve">”, deverão dispor de chave de identificação e de senha pessoais e intransferíveis, obtidas junto à </w:t>
      </w:r>
      <w:r>
        <w:rPr>
          <w:b/>
        </w:rPr>
        <w:t xml:space="preserve">BLL – Bolsa de Licitações e Leilões: </w:t>
      </w:r>
      <w:r>
        <w:fldChar w:fldCharType="begin"/>
      </w:r>
      <w:r>
        <w:instrText xml:space="preserve"> HYPERLINK "http://www.bllcompras.org.br/" </w:instrText>
      </w:r>
      <w:r>
        <w:fldChar w:fldCharType="separate"/>
      </w:r>
      <w:r>
        <w:rPr>
          <w:rStyle w:val="19"/>
          <w:b/>
        </w:rPr>
        <w:t>bllcompras.com</w:t>
      </w:r>
      <w:r>
        <w:rPr>
          <w:rStyle w:val="19"/>
          <w:b/>
        </w:rPr>
        <w:fldChar w:fldCharType="end"/>
      </w:r>
      <w:r>
        <w:rPr>
          <w:b/>
        </w:rPr>
        <w:t xml:space="preserve">. </w:t>
      </w:r>
    </w:p>
    <w:p w14:paraId="1DE2B7CD">
      <w:pPr>
        <w:ind w:left="284"/>
        <w:jc w:val="both"/>
        <w:rPr>
          <w:b/>
        </w:rPr>
      </w:pPr>
    </w:p>
    <w:p w14:paraId="1DB20705">
      <w:pPr>
        <w:jc w:val="both"/>
      </w:pPr>
      <w:r>
        <w:rPr>
          <w:b/>
        </w:rPr>
        <w:t>5.2.</w:t>
      </w:r>
      <w:r>
        <w:t xml:space="preserve"> As propostas comerciais e os documentos exigidos para habilitação poderão ser cadastrados até </w:t>
      </w:r>
      <w:r>
        <w:rPr>
          <w:b/>
        </w:rPr>
        <w:t>meia hora antes</w:t>
      </w:r>
      <w:r>
        <w:t xml:space="preserve"> do horário estabelecido no preambulo deste edital </w:t>
      </w:r>
      <w:r>
        <w:rPr>
          <w:b/>
          <w:color w:val="000000"/>
        </w:rPr>
        <w:t xml:space="preserve">(horário de Brasília) </w:t>
      </w:r>
      <w:r>
        <w:t xml:space="preserve">por meio do endereço </w:t>
      </w:r>
      <w:r>
        <w:rPr>
          <w:b/>
        </w:rPr>
        <w:t>bllcompras.com</w:t>
      </w:r>
      <w:r>
        <w:t>, onde se encontra o link para o “</w:t>
      </w:r>
      <w:r>
        <w:rPr>
          <w:b/>
        </w:rPr>
        <w:t>Acesso Identificado</w:t>
      </w:r>
      <w:r>
        <w:t xml:space="preserve">”, podendo os interessados cadastrar ou substituir propostas no sistema eletrônico; </w:t>
      </w:r>
    </w:p>
    <w:p w14:paraId="51C41299">
      <w:pPr>
        <w:ind w:left="284"/>
        <w:jc w:val="both"/>
        <w:rPr>
          <w:b/>
        </w:rPr>
      </w:pPr>
    </w:p>
    <w:p w14:paraId="6A0A51DE">
      <w:pPr>
        <w:autoSpaceDE w:val="0"/>
        <w:ind w:left="426"/>
        <w:jc w:val="both"/>
      </w:pPr>
      <w:r>
        <w:rPr>
          <w:b/>
        </w:rPr>
        <w:t>5.2.1.</w:t>
      </w:r>
      <w:r>
        <w:t xml:space="preserve"> Eventuais </w:t>
      </w:r>
      <w:r>
        <w:rPr>
          <w:b/>
        </w:rPr>
        <w:t>dúvidas para obtenção da senha</w:t>
      </w:r>
      <w:r>
        <w:t xml:space="preserve"> de acesso ou qualquer problema com o cadastramento das propostas, o licitante deverá entrar em contato com a </w:t>
      </w:r>
      <w:r>
        <w:rPr>
          <w:b/>
        </w:rPr>
        <w:t xml:space="preserve">BLL </w:t>
      </w:r>
      <w:r>
        <w:t xml:space="preserve">pelos telefones </w:t>
      </w:r>
      <w:r>
        <w:rPr>
          <w:b/>
        </w:rPr>
        <w:t>(041) 3097-4600; 3097-4623; 3097-4646; 3148-9870</w:t>
      </w:r>
      <w:r>
        <w:t xml:space="preserve"> pois é de inteira responsabilidade da mesma em sanar problemas relacionados com o sistema; </w:t>
      </w:r>
    </w:p>
    <w:p w14:paraId="28F3AD22">
      <w:pPr>
        <w:tabs>
          <w:tab w:val="left" w:pos="9030"/>
        </w:tabs>
        <w:ind w:left="709"/>
        <w:jc w:val="both"/>
      </w:pPr>
      <w:r>
        <w:tab/>
      </w:r>
    </w:p>
    <w:p w14:paraId="2745B204">
      <w:pPr>
        <w:jc w:val="both"/>
      </w:pPr>
      <w:r>
        <w:rPr>
          <w:b/>
        </w:rPr>
        <w:t xml:space="preserve">5.3. </w:t>
      </w:r>
      <w:r>
        <w:t xml:space="preserve">A chave de identificação e senha poderão ser utilizadas em qualquer pregão eletrônico, salvo quando canceladas por solicitação do credenciado ou por iniciativa da BLL, devidamente justificado. </w:t>
      </w:r>
    </w:p>
    <w:p w14:paraId="37CB13ED">
      <w:pPr>
        <w:ind w:left="284"/>
        <w:jc w:val="both"/>
        <w:rPr>
          <w:b/>
        </w:rPr>
      </w:pPr>
    </w:p>
    <w:p w14:paraId="04C84816">
      <w:pPr>
        <w:jc w:val="both"/>
      </w:pPr>
      <w:r>
        <w:rPr>
          <w:b/>
        </w:rPr>
        <w:t>5.4.</w:t>
      </w:r>
      <w:r>
        <w:t xml:space="preserve"> É de exclusiva responsabilidade do usuário o sigilo da senha, bem como seu uso em qualquer transação efetuada diretamente ou por seu representante, não cabendo à Prefeitura Municipal de Rondonópolis-MT e/ou BLL, a responsabilidade por eventuais danos decorrentes de uso indevido da senha, ainda que por terceiros.</w:t>
      </w:r>
    </w:p>
    <w:p w14:paraId="1282376E">
      <w:pPr>
        <w:ind w:left="284"/>
        <w:jc w:val="both"/>
      </w:pPr>
      <w:r>
        <w:t xml:space="preserve"> </w:t>
      </w:r>
    </w:p>
    <w:p w14:paraId="28953CB9">
      <w:pPr>
        <w:jc w:val="both"/>
      </w:pPr>
      <w:r>
        <w:rPr>
          <w:b/>
        </w:rPr>
        <w:t>5.5.</w:t>
      </w:r>
      <w:r>
        <w:t xml:space="preserve"> O credenciamento do fornecedor e de seu representante legal junto ao sistema eletrônico implica a responsabilidade legal pelos atos praticados e a presunção de capacidade técnica para realização das transações inerentes ao pregão eletrônico.</w:t>
      </w:r>
    </w:p>
    <w:p w14:paraId="00473CCF">
      <w:pPr>
        <w:ind w:left="284"/>
        <w:jc w:val="both"/>
        <w:rPr>
          <w:b/>
        </w:rPr>
      </w:pPr>
    </w:p>
    <w:p w14:paraId="47F47C22">
      <w:pPr>
        <w:jc w:val="both"/>
      </w:pPr>
      <w:r>
        <w:rPr>
          <w:b/>
        </w:rPr>
        <w:t>5.6.</w:t>
      </w:r>
      <w:r>
        <w:t xml:space="preserve"> Como requisito para participação deste Pregão Eletrônico, o Licitante deverá manifestar, em campo próprio do Sistema BLL, que sua proposta se encontra em conformidade com as exigências previstas e cumpre plenamente os requisitos de habilitação deste Edital, ressalvados os casos de participação de microempresa e de empresa de pequeno porte, no que concerne a regularidade fiscal e trabalhista.</w:t>
      </w:r>
    </w:p>
    <w:p w14:paraId="094B0145">
      <w:pPr>
        <w:ind w:left="284"/>
        <w:jc w:val="both"/>
      </w:pPr>
    </w:p>
    <w:p w14:paraId="1D7C588F">
      <w:pPr>
        <w:jc w:val="both"/>
      </w:pPr>
      <w:r>
        <w:rPr>
          <w:b/>
        </w:rPr>
        <w:t>5.7.</w:t>
      </w:r>
      <w:r>
        <w:t xml:space="preserve"> Em se tratando de microempresa e empresa de pequeno porte, nos termos da </w:t>
      </w:r>
      <w:r>
        <w:rPr>
          <w:b/>
        </w:rPr>
        <w:t>Lei Complementar nº 123, de 14.12.2006, alterada pela Lei complementar 147/2014, de 07.08.2014,</w:t>
      </w:r>
      <w:r>
        <w:t xml:space="preserve"> para que essa possa gozar dos </w:t>
      </w:r>
      <w:r>
        <w:rPr>
          <w:b/>
        </w:rPr>
        <w:t>benefícios previstos no capítulo V</w:t>
      </w:r>
      <w:r>
        <w:t xml:space="preserve"> da referida Lei, é necessário, à época do credenciamento acrescentar as expressões “</w:t>
      </w:r>
      <w:r>
        <w:rPr>
          <w:b/>
        </w:rPr>
        <w:t>Microempresa</w:t>
      </w:r>
      <w:r>
        <w:t>” ou “</w:t>
      </w:r>
      <w:r>
        <w:rPr>
          <w:b/>
        </w:rPr>
        <w:t>Empresa de Pequeno Porte</w:t>
      </w:r>
      <w:r>
        <w:t>” ou suas respectivas abreviações, “</w:t>
      </w:r>
      <w:r>
        <w:rPr>
          <w:b/>
        </w:rPr>
        <w:t>ME</w:t>
      </w:r>
      <w:r>
        <w:t>” ou “</w:t>
      </w:r>
      <w:r>
        <w:rPr>
          <w:b/>
        </w:rPr>
        <w:t>EPP</w:t>
      </w:r>
      <w:r>
        <w:t xml:space="preserve">”, à sua firma ou denominação conforme o caso. </w:t>
      </w:r>
    </w:p>
    <w:p w14:paraId="465E2B08">
      <w:pPr>
        <w:ind w:left="284"/>
        <w:jc w:val="both"/>
        <w:rPr>
          <w:b/>
        </w:rPr>
      </w:pPr>
    </w:p>
    <w:p w14:paraId="25A5BDE1">
      <w:pPr>
        <w:autoSpaceDE w:val="0"/>
        <w:ind w:left="426"/>
        <w:jc w:val="both"/>
      </w:pPr>
      <w:r>
        <w:rPr>
          <w:b/>
        </w:rPr>
        <w:t>5.7.1.</w:t>
      </w:r>
      <w:r>
        <w:t xml:space="preserve"> Caso o proponente já esteja cadastrado no Sistema e não constem os dados acima em sua firma ou denominação, deverá providenciar a alteração de seu cadastro no Sistema. Para tanto, deverá dirigir-se à </w:t>
      </w:r>
      <w:r>
        <w:rPr>
          <w:b/>
        </w:rPr>
        <w:t>BLL</w:t>
      </w:r>
      <w:r>
        <w:t xml:space="preserve">. </w:t>
      </w:r>
    </w:p>
    <w:p w14:paraId="627230C3">
      <w:pPr>
        <w:ind w:left="284"/>
        <w:jc w:val="both"/>
      </w:pPr>
    </w:p>
    <w:p w14:paraId="51C58261">
      <w:pPr>
        <w:jc w:val="both"/>
      </w:pPr>
      <w:r>
        <w:rPr>
          <w:b/>
        </w:rPr>
        <w:t>5.8.</w:t>
      </w:r>
      <w:r>
        <w:t xml:space="preserve"> É vedado a qualquer credenciado representar mais de uma empresa proponente, salvo, nos casos de representação para itens/lotes distintos.</w:t>
      </w:r>
    </w:p>
    <w:p w14:paraId="21279F67">
      <w:pPr>
        <w:ind w:left="284"/>
        <w:jc w:val="both"/>
      </w:pPr>
    </w:p>
    <w:p w14:paraId="081AF5EF">
      <w:pPr>
        <w:pStyle w:val="2"/>
        <w:autoSpaceDE w:val="0"/>
        <w:spacing w:before="0" w:after="0"/>
        <w:jc w:val="both"/>
        <w:rPr>
          <w:rFonts w:ascii="Arial" w:hAnsi="Arial" w:cs="Arial"/>
          <w:b/>
          <w:bCs/>
          <w:color w:val="000000" w:themeColor="text1"/>
          <w:sz w:val="24"/>
          <w:szCs w:val="24"/>
          <w14:textFill>
            <w14:solidFill>
              <w14:schemeClr w14:val="tx1"/>
            </w14:solidFill>
          </w14:textFill>
        </w:rPr>
      </w:pPr>
      <w:bookmarkStart w:id="6" w:name="__RefHeading___Toc190782012"/>
      <w:bookmarkEnd w:id="6"/>
      <w:r>
        <w:rPr>
          <w:rFonts w:ascii="Arial" w:hAnsi="Arial" w:eastAsia="SimSun" w:cs="Arial"/>
          <w:b/>
          <w:bCs/>
          <w:color w:val="000000" w:themeColor="text1"/>
          <w:sz w:val="24"/>
          <w:szCs w:val="24"/>
          <w14:textFill>
            <w14:solidFill>
              <w14:schemeClr w14:val="tx1"/>
            </w14:solidFill>
          </w14:textFill>
        </w:rPr>
        <w:t>6. DA PARTICIPAÇÃO NA LICITAÇÃO E CADASTRO DA PROPOSTA NO SISTEMA BLL:</w:t>
      </w:r>
    </w:p>
    <w:p w14:paraId="0D597831">
      <w:pPr>
        <w:jc w:val="both"/>
        <w:rPr>
          <w:rFonts w:eastAsia="SimSun"/>
          <w:b/>
          <w:kern w:val="2"/>
        </w:rPr>
      </w:pPr>
    </w:p>
    <w:p w14:paraId="3C64A347">
      <w:pPr>
        <w:jc w:val="both"/>
        <w:rPr>
          <w:u w:val="single"/>
        </w:rPr>
      </w:pPr>
      <w:r>
        <w:rPr>
          <w:b/>
          <w:u w:val="single"/>
        </w:rPr>
        <w:t>6.1</w:t>
      </w:r>
      <w:r>
        <w:rPr>
          <w:u w:val="single"/>
        </w:rPr>
        <w:t>. Não haverá possibilidade de ser apresentado preços diferentes em razão de entregas em locais diferentes, pela forma de acondicionamento até pela natureza do objeto licitado, ou em razão do tamanho do lote (artigo 82, III, da Lei 14.133/2021 e artigo 301, VIII do Decreto Municipal n° 11.685/2023).</w:t>
      </w:r>
    </w:p>
    <w:p w14:paraId="7BD8AC76">
      <w:pPr>
        <w:jc w:val="both"/>
        <w:rPr>
          <w:u w:val="single"/>
        </w:rPr>
      </w:pPr>
    </w:p>
    <w:p w14:paraId="425D2A9F">
      <w:pPr>
        <w:jc w:val="both"/>
        <w:rPr>
          <w:u w:val="single"/>
        </w:rPr>
      </w:pPr>
      <w:r>
        <w:rPr>
          <w:b/>
          <w:u w:val="single"/>
        </w:rPr>
        <w:t>6.1.1.</w:t>
      </w:r>
      <w:r>
        <w:rPr>
          <w:u w:val="single"/>
        </w:rPr>
        <w:t xml:space="preserve"> Não haverá a possibilidade de o licitante oferecer proposta em quantitativo inferior ao máximo previsto no edital, obrigando-se nos limites dele (art. 82, IV da Lei 14.133/2021 e art. 301, IX do Decreto 11.685/2023).</w:t>
      </w:r>
    </w:p>
    <w:p w14:paraId="0B38E411">
      <w:pPr>
        <w:jc w:val="both"/>
      </w:pPr>
    </w:p>
    <w:p w14:paraId="20920C89">
      <w:pPr>
        <w:jc w:val="both"/>
      </w:pPr>
      <w:r>
        <w:rPr>
          <w:rStyle w:val="228"/>
          <w:b/>
          <w:color w:val="000000"/>
          <w:shd w:val="clear" w:color="auto" w:fill="FFFFFF"/>
          <w:lang w:val="ar-SA"/>
        </w:rPr>
        <w:t>6.2.</w:t>
      </w:r>
      <w:r>
        <w:rPr>
          <w:rStyle w:val="228"/>
          <w:color w:val="000000"/>
          <w:shd w:val="clear" w:color="auto" w:fill="FFFFFF"/>
          <w:lang w:val="ar-SA"/>
        </w:rPr>
        <w:t xml:space="preserve"> As propostas iniciais, bem como, todos os documentos exigidos para habilitação deverão ser apresentados via sistema eletrônico. O cadastro da proposta pressupõe o pleno conhecimento e atendimento às exigências de habilitação previstas no Edital e seus Anexos. O fornecedor será responsável por todas as transações que forem efetuadas em seu nome no sistema eletrônico, assumindo como firmes e verdadeiras suas propostas e lances. </w:t>
      </w:r>
    </w:p>
    <w:p w14:paraId="1DF7ABA1">
      <w:pPr>
        <w:ind w:left="284"/>
        <w:jc w:val="both"/>
        <w:rPr>
          <w:color w:val="000000"/>
        </w:rPr>
      </w:pPr>
    </w:p>
    <w:p w14:paraId="417FFA62">
      <w:pPr>
        <w:jc w:val="both"/>
      </w:pPr>
      <w:r>
        <w:rPr>
          <w:b/>
        </w:rPr>
        <w:t>6.3.</w:t>
      </w:r>
      <w:r>
        <w:t xml:space="preserve"> </w:t>
      </w:r>
      <w:bookmarkStart w:id="7" w:name="_Ref167185536"/>
      <w:r>
        <w:rPr>
          <w:rStyle w:val="228"/>
          <w:b/>
          <w:lang w:val="ar-SA"/>
        </w:rPr>
        <w:t>As propostas deverão ser cadastradas no sistema com valor unitário do item/lote</w:t>
      </w:r>
      <w:r>
        <w:rPr>
          <w:rStyle w:val="228"/>
          <w:lang w:val="ar-SA"/>
        </w:rPr>
        <w:t>. Ao final o próprio sistema da BLL fará a multiplicação e emitirá os relatórios com o (s) valor (es) total (s) do (s) item (s)/ lotes. Os</w:t>
      </w:r>
      <w:r>
        <w:rPr>
          <w:rStyle w:val="228"/>
          <w:b/>
          <w:lang w:val="ar-SA"/>
        </w:rPr>
        <w:t xml:space="preserve"> lances serão sempre em cima do valor unitário do item ou lote conforme o caso.</w:t>
      </w:r>
      <w:bookmarkEnd w:id="7"/>
      <w:r>
        <w:rPr>
          <w:rStyle w:val="228"/>
          <w:lang w:val="ar-SA"/>
        </w:rPr>
        <w:t xml:space="preserve"> </w:t>
      </w:r>
    </w:p>
    <w:p w14:paraId="65B55299">
      <w:pPr>
        <w:ind w:left="284"/>
        <w:jc w:val="both"/>
      </w:pPr>
    </w:p>
    <w:p w14:paraId="782E9EFB">
      <w:pPr>
        <w:autoSpaceDE w:val="0"/>
        <w:ind w:left="426"/>
        <w:jc w:val="both"/>
      </w:pPr>
      <w:r>
        <w:rPr>
          <w:b/>
        </w:rPr>
        <w:t>6.3.1.</w:t>
      </w:r>
      <w:r>
        <w:t xml:space="preserve"> A apresentação das propostas, bem como, os lances quando for o caso, demonstra que o licitante tem conhecimento do objeto, valor estimado e atendimento às exigências para habilitação, portanto, demostra pleno conhecimento das regras previstas no Edital e seus Anexos. </w:t>
      </w:r>
    </w:p>
    <w:p w14:paraId="2F95F680">
      <w:pPr>
        <w:ind w:left="284"/>
        <w:jc w:val="both"/>
        <w:rPr>
          <w:b/>
        </w:rPr>
      </w:pPr>
    </w:p>
    <w:p w14:paraId="271E54F5">
      <w:pPr>
        <w:autoSpaceDE w:val="0"/>
        <w:ind w:left="426"/>
        <w:jc w:val="both"/>
      </w:pPr>
      <w:r>
        <w:rPr>
          <w:b/>
        </w:rPr>
        <w:t>6.3.2.</w:t>
      </w:r>
      <w:r>
        <w:t xml:space="preserve"> A empresa/licitante será responsável por todas as transações que forem efetuadas em seu nome no sistema BLL, assumindo como firmes e verdadeiras suas propostas iniciais cadastradas, lances, bem como, fica obrigada a cadastrar a recomposição dentro do prazo estabelecido no edital.</w:t>
      </w:r>
    </w:p>
    <w:p w14:paraId="51AE0748">
      <w:pPr>
        <w:ind w:left="284"/>
        <w:jc w:val="both"/>
      </w:pPr>
    </w:p>
    <w:p w14:paraId="1C5A2B8D">
      <w:pPr>
        <w:autoSpaceDE w:val="0"/>
        <w:ind w:left="426"/>
        <w:jc w:val="both"/>
      </w:pPr>
      <w:r>
        <w:rPr>
          <w:b/>
          <w:color w:val="000000"/>
        </w:rPr>
        <w:t>6.3.3.</w:t>
      </w:r>
      <w:r>
        <w:rPr>
          <w:color w:val="000000"/>
        </w:rPr>
        <w:t xml:space="preserve"> Portanto, 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A458442">
      <w:pPr>
        <w:ind w:left="284"/>
        <w:jc w:val="both"/>
        <w:rPr>
          <w:b/>
          <w:color w:val="000000"/>
        </w:rPr>
      </w:pPr>
    </w:p>
    <w:p w14:paraId="67EFAF1E">
      <w:pPr>
        <w:ind w:left="426"/>
        <w:jc w:val="both"/>
      </w:pPr>
      <w:r>
        <w:rPr>
          <w:b/>
        </w:rPr>
        <w:t>6.3.4</w:t>
      </w:r>
      <w:r>
        <w:t xml:space="preserve"> Será concedido tratamento favorecido para as microempresas e empresas de pequeno porte, </w:t>
      </w:r>
      <w:r>
        <w:rPr>
          <w:color w:val="000000"/>
        </w:rPr>
        <w:t xml:space="preserve">para as sociedades cooperativas mencionadas no </w:t>
      </w:r>
      <w:r>
        <w:fldChar w:fldCharType="begin"/>
      </w:r>
      <w:r>
        <w:instrText xml:space="preserve"> HYPERLINK "http://www.planalto.gov.br/ccivil_03/_ato2019-2022/2021/lei/L14133.htm" \l "art16" </w:instrText>
      </w:r>
      <w:r>
        <w:fldChar w:fldCharType="separate"/>
      </w:r>
      <w:r>
        <w:rPr>
          <w:rStyle w:val="19"/>
          <w:color w:val="000000"/>
        </w:rPr>
        <w:t>artigo 16 da Lei nº 14.133, de 2021</w:t>
      </w:r>
      <w:r>
        <w:rPr>
          <w:rStyle w:val="19"/>
          <w:color w:val="000000"/>
        </w:rPr>
        <w:fldChar w:fldCharType="end"/>
      </w:r>
      <w:r>
        <w:t xml:space="preserve">, para o agricultor familiar, o produtor rural pessoa física e para o microempreendedor individual - MEI, nos limites previstos da </w:t>
      </w:r>
      <w:r>
        <w:fldChar w:fldCharType="begin"/>
      </w:r>
      <w:r>
        <w:instrText xml:space="preserve"> HYPERLINK "https://www.planalto.gov.br/ccivil_03/leis/lcp/lcp123.htm" </w:instrText>
      </w:r>
      <w:r>
        <w:fldChar w:fldCharType="separate"/>
      </w:r>
      <w:r>
        <w:rPr>
          <w:rStyle w:val="19"/>
        </w:rPr>
        <w:t>Lei Complementar nº 123, de 2006</w:t>
      </w:r>
      <w:r>
        <w:rPr>
          <w:rStyle w:val="19"/>
        </w:rPr>
        <w:fldChar w:fldCharType="end"/>
      </w:r>
      <w:r>
        <w:t xml:space="preserve"> e do Decreto n.º 8.538, de 2015.</w:t>
      </w:r>
    </w:p>
    <w:p w14:paraId="362C076E">
      <w:pPr>
        <w:ind w:left="426"/>
        <w:jc w:val="both"/>
      </w:pPr>
    </w:p>
    <w:p w14:paraId="255692E9">
      <w:pPr>
        <w:pStyle w:val="91"/>
        <w:jc w:val="both"/>
        <w:rPr>
          <w:rFonts w:ascii="Arial" w:hAnsi="Arial" w:cs="Arial"/>
          <w:sz w:val="22"/>
          <w:szCs w:val="22"/>
        </w:rPr>
      </w:pPr>
      <w:r>
        <w:rPr>
          <w:rFonts w:ascii="Arial" w:hAnsi="Arial" w:cs="Arial"/>
          <w:b/>
          <w:sz w:val="22"/>
          <w:szCs w:val="22"/>
        </w:rPr>
        <w:t xml:space="preserve">6.4. NA PROPOSTA DE PREÇOS DEVERÁ CONTER: </w:t>
      </w:r>
    </w:p>
    <w:p w14:paraId="054EB576">
      <w:pPr>
        <w:pStyle w:val="91"/>
        <w:ind w:left="284"/>
        <w:jc w:val="both"/>
        <w:rPr>
          <w:rFonts w:ascii="Arial" w:hAnsi="Arial" w:cs="Arial"/>
          <w:b/>
          <w:sz w:val="22"/>
          <w:szCs w:val="22"/>
        </w:rPr>
      </w:pPr>
    </w:p>
    <w:p w14:paraId="379427EA">
      <w:pPr>
        <w:ind w:left="284"/>
        <w:jc w:val="both"/>
      </w:pPr>
      <w:r>
        <w:rPr>
          <w:b/>
          <w:color w:val="000000"/>
        </w:rPr>
        <w:t>6.4.1.</w:t>
      </w:r>
      <w:r>
        <w:rPr>
          <w:color w:val="000000"/>
        </w:rPr>
        <w:t xml:space="preserve"> O prazo de eficácia da proposta, o qual não poderá ser inferior a 120 (cento e vinte) dias corridos, a contar da data da realização da sessão pública da licitação em epígrafe; </w:t>
      </w:r>
    </w:p>
    <w:p w14:paraId="49CC10C0">
      <w:pPr>
        <w:ind w:left="284"/>
        <w:jc w:val="both"/>
        <w:rPr>
          <w:b/>
          <w:color w:val="000000"/>
        </w:rPr>
      </w:pPr>
    </w:p>
    <w:p w14:paraId="34AB804D">
      <w:pPr>
        <w:ind w:left="284"/>
        <w:jc w:val="both"/>
      </w:pPr>
      <w:r>
        <w:t>6.4.2. Os preços deverão ser cotados em moeda corrente nacional, expressos em algarismos e por extenso, sem previsão inflacionária. Em caso de divergência entre os valores unitários e totais, serão considerados os primeiros, e entre os valores expressos em algarismo e por extenso, será considerado este último, e estar inclusa, toda e qualquer despesas, tais como: fretes, encargos sociais e trabalhistas, seguros, tributos diretos e indiretos incidentes sobre o fornecimento do objeto;</w:t>
      </w:r>
    </w:p>
    <w:p w14:paraId="3265C8B0">
      <w:pPr>
        <w:ind w:left="284"/>
        <w:jc w:val="both"/>
      </w:pPr>
    </w:p>
    <w:p w14:paraId="05D0E30E">
      <w:pPr>
        <w:ind w:left="284"/>
        <w:jc w:val="both"/>
      </w:pPr>
      <w:r>
        <w:rPr>
          <w:b/>
        </w:rPr>
        <w:t>6.4.3.</w:t>
      </w:r>
      <w:r>
        <w:t xml:space="preserve"> O Pregoeiro considerará erros de somatórios e outros aspectos que beneficiem a Administração Pública e não impliquem nulidade do procedimento, como sendo exigências formais e consequentemente classificará a empresa;</w:t>
      </w:r>
    </w:p>
    <w:p w14:paraId="46ABC543">
      <w:pPr>
        <w:ind w:left="284"/>
        <w:jc w:val="both"/>
      </w:pPr>
      <w:r>
        <w:rPr>
          <w:b/>
        </w:rPr>
        <w:t xml:space="preserve">6.4.4. </w:t>
      </w:r>
      <w:r>
        <w:t xml:space="preserve">Deverá ser apresentada proposta que atenda todas as especificações do objeto solicitado, não poderão ser alteradas, sob pena de desclassificação; </w:t>
      </w:r>
    </w:p>
    <w:p w14:paraId="46BB6FEF">
      <w:pPr>
        <w:ind w:left="284"/>
        <w:jc w:val="both"/>
      </w:pPr>
    </w:p>
    <w:p w14:paraId="1FC20070">
      <w:pPr>
        <w:ind w:left="284"/>
        <w:jc w:val="both"/>
      </w:pPr>
      <w:r>
        <w:rPr>
          <w:b/>
        </w:rPr>
        <w:t>6.4.5.</w:t>
      </w:r>
      <w:r>
        <w:t xml:space="preserve"> As propostas dos itens objeto deste Edital deverão conter a indicação de marca/fabricante, validade, garantia, quantidade, modelo (quando for o caso), sendo as informações corretas, claras, precisas, ostensivas na língua portuguesa sobre suas características, qualidades, preço, garantia e origem, entre outros dados.</w:t>
      </w:r>
    </w:p>
    <w:p w14:paraId="70978FA4">
      <w:pPr>
        <w:jc w:val="both"/>
      </w:pPr>
    </w:p>
    <w:p w14:paraId="016E874F">
      <w:pPr>
        <w:ind w:left="284"/>
        <w:jc w:val="both"/>
      </w:pPr>
      <w:r>
        <w:rPr>
          <w:b/>
        </w:rPr>
        <w:t>6.4.6.</w:t>
      </w:r>
      <w:r>
        <w:t xml:space="preserve"> </w:t>
      </w:r>
      <w:r>
        <w:rPr>
          <w:b/>
          <w:u w:val="single"/>
        </w:rPr>
        <w:t xml:space="preserve">A quantidade máxima estimada dos itens que poderão ser adquiridos pelo município, aqui denominado órgão gerenciador, é a </w:t>
      </w:r>
      <w:r>
        <w:rPr>
          <w:b/>
          <w:color w:val="000000"/>
          <w:u w:val="single"/>
        </w:rPr>
        <w:t>constante no Anexo Formação de Preços</w:t>
      </w:r>
      <w:r>
        <w:rPr>
          <w:color w:val="000000"/>
        </w:rPr>
        <w:t>,</w:t>
      </w:r>
      <w:r>
        <w:t xml:space="preserve"> tendo em vista que para este certame não haverá a possibilidade de contemplação para órgão não participante. (Art. 82, Inciso I, da Lei 14.133/2021). </w:t>
      </w:r>
    </w:p>
    <w:p w14:paraId="08499794">
      <w:pPr>
        <w:ind w:left="284"/>
        <w:jc w:val="both"/>
      </w:pPr>
    </w:p>
    <w:p w14:paraId="0A48ACE3">
      <w:pPr>
        <w:ind w:left="284"/>
        <w:jc w:val="both"/>
      </w:pPr>
      <w:r>
        <w:rPr>
          <w:b/>
        </w:rPr>
        <w:t>6.4.7.</w:t>
      </w:r>
      <w:r>
        <w:t xml:space="preserve"> Tendo em vista a natureza do objeto, e considerando que todas as empresas do ramo no mercado são capazes de realizar o fornecimento dos itens nas quantidades solicitadas, não será prevista a possibilidade de o licitante oferecer proposta em quantitativo inferior ao máximo previsto no edital, obrigando-se nos limites dela. (Art. 82, Inciso IV, da Lei 14.133/2021).</w:t>
      </w:r>
    </w:p>
    <w:p w14:paraId="211D2E36">
      <w:pPr>
        <w:ind w:left="284"/>
        <w:jc w:val="both"/>
      </w:pPr>
    </w:p>
    <w:p w14:paraId="7782901D">
      <w:pPr>
        <w:ind w:left="284"/>
        <w:jc w:val="both"/>
      </w:pPr>
      <w:r>
        <w:rPr>
          <w:b/>
        </w:rPr>
        <w:t>6.4.8. DA PROVA DE CONCEITO:</w:t>
      </w:r>
    </w:p>
    <w:p w14:paraId="66DF9D75">
      <w:pPr>
        <w:ind w:left="284"/>
        <w:jc w:val="both"/>
        <w:rPr>
          <w:b/>
        </w:rPr>
      </w:pPr>
    </w:p>
    <w:p w14:paraId="2BA88FE9">
      <w:pPr>
        <w:ind w:left="284"/>
        <w:jc w:val="both"/>
        <w:rPr>
          <w:bCs/>
        </w:rPr>
      </w:pPr>
      <w:r>
        <w:rPr>
          <w:b/>
          <w:bCs/>
        </w:rPr>
        <w:t>6.4.8.1.</w:t>
      </w:r>
      <w:r>
        <w:rPr>
          <w:bCs/>
        </w:rPr>
        <w:t xml:space="preserve"> A realização de </w:t>
      </w:r>
      <w:r>
        <w:rPr>
          <w:b/>
          <w:bCs/>
        </w:rPr>
        <w:t>Prova de Conceito (PoC)</w:t>
      </w:r>
      <w:r>
        <w:rPr>
          <w:bCs/>
        </w:rPr>
        <w:t xml:space="preserve"> pela licitante classificada provisoriamente em primeiro lugar, de acordo com as condições, critérios e procedimentos estabelecidos no </w:t>
      </w:r>
      <w:r>
        <w:rPr>
          <w:b/>
          <w:bCs/>
        </w:rPr>
        <w:t>Termo de Referência</w:t>
      </w:r>
      <w:r>
        <w:rPr>
          <w:bCs/>
        </w:rPr>
        <w:t xml:space="preserve"> e no </w:t>
      </w:r>
      <w:r>
        <w:rPr>
          <w:b/>
          <w:bCs/>
        </w:rPr>
        <w:t>Anexo VIII</w:t>
      </w:r>
      <w:r>
        <w:rPr>
          <w:bCs/>
        </w:rPr>
        <w:t>, partes integrantes e indissociáveis deste Edital. A PoC tem por finalidade comprovar, de forma prática e objetiva, a conformidade técnica, a funcionalidade e a eficiência dos equipamentos e sistemas ofertados com os requisitos mínimos exigidos pela Administração. O não atendimento satisfatório às exigências previstas implicará a inabilitação da licitante.</w:t>
      </w:r>
    </w:p>
    <w:p w14:paraId="7CA5A187">
      <w:pPr>
        <w:ind w:left="284"/>
        <w:jc w:val="both"/>
      </w:pPr>
    </w:p>
    <w:p w14:paraId="7932A79C">
      <w:pPr>
        <w:pStyle w:val="91"/>
        <w:jc w:val="both"/>
        <w:rPr>
          <w:rFonts w:ascii="Arial" w:hAnsi="Arial" w:cs="Arial"/>
          <w:sz w:val="22"/>
          <w:szCs w:val="22"/>
        </w:rPr>
      </w:pPr>
      <w:r>
        <w:rPr>
          <w:rFonts w:ascii="Arial" w:hAnsi="Arial" w:cs="Arial"/>
          <w:b/>
          <w:sz w:val="22"/>
          <w:szCs w:val="22"/>
        </w:rPr>
        <w:t xml:space="preserve">6.5. DA INDICAÇÃO DE MARCA PARADIGMA: </w:t>
      </w:r>
    </w:p>
    <w:p w14:paraId="2754F758">
      <w:pPr>
        <w:ind w:left="284"/>
        <w:jc w:val="both"/>
        <w:rPr>
          <w:b/>
          <w:color w:val="000000"/>
        </w:rPr>
      </w:pPr>
    </w:p>
    <w:p w14:paraId="01A1C590">
      <w:pPr>
        <w:ind w:left="284"/>
        <w:jc w:val="both"/>
      </w:pPr>
      <w:r>
        <w:rPr>
          <w:b/>
          <w:color w:val="000000"/>
        </w:rPr>
        <w:t>6.5.1.</w:t>
      </w:r>
      <w:r>
        <w:rPr>
          <w:color w:val="000000"/>
        </w:rPr>
        <w:t xml:space="preserve"> Não se aplica a indicação de marca paradigma tendo em vista a natureza do insumo objeto.</w:t>
      </w:r>
    </w:p>
    <w:p w14:paraId="3624C994">
      <w:pPr>
        <w:ind w:left="284"/>
        <w:jc w:val="both"/>
        <w:rPr>
          <w:color w:val="000000"/>
        </w:rPr>
      </w:pPr>
    </w:p>
    <w:p w14:paraId="3C56094F">
      <w:pPr>
        <w:pStyle w:val="2"/>
        <w:autoSpaceDE w:val="0"/>
        <w:spacing w:before="0" w:after="0"/>
        <w:jc w:val="both"/>
        <w:rPr>
          <w:rFonts w:ascii="Arial" w:hAnsi="Arial" w:cs="Arial"/>
          <w:b/>
          <w:bCs/>
          <w:color w:val="auto"/>
          <w:sz w:val="24"/>
          <w:szCs w:val="24"/>
        </w:rPr>
      </w:pPr>
      <w:bookmarkStart w:id="8" w:name="__RefHeading___Toc190782013"/>
      <w:r>
        <w:rPr>
          <w:rFonts w:ascii="Arial" w:hAnsi="Arial" w:eastAsia="SimSun" w:cs="Arial"/>
          <w:b/>
          <w:bCs/>
          <w:color w:val="auto"/>
          <w:sz w:val="24"/>
          <w:szCs w:val="24"/>
        </w:rPr>
        <w:t>7. DA ANÁLISE INICIAL NA PROPOSTA DE PREÇOS NO MOMENTO DA SESSÃO:</w:t>
      </w:r>
      <w:bookmarkEnd w:id="8"/>
      <w:r>
        <w:rPr>
          <w:rFonts w:ascii="Arial" w:hAnsi="Arial" w:eastAsia="SimSun" w:cs="Arial"/>
          <w:b/>
          <w:bCs/>
          <w:color w:val="auto"/>
          <w:sz w:val="24"/>
          <w:szCs w:val="24"/>
        </w:rPr>
        <w:t xml:space="preserve"> </w:t>
      </w:r>
    </w:p>
    <w:p w14:paraId="4BAFF922">
      <w:pPr>
        <w:jc w:val="both"/>
        <w:rPr>
          <w:rFonts w:eastAsia="SimSun"/>
          <w:b/>
          <w:kern w:val="2"/>
        </w:rPr>
      </w:pPr>
    </w:p>
    <w:p w14:paraId="38F57A99">
      <w:pPr>
        <w:jc w:val="both"/>
      </w:pPr>
      <w:r>
        <w:rPr>
          <w:b/>
        </w:rPr>
        <w:t>7.1.</w:t>
      </w:r>
      <w:r>
        <w:t xml:space="preserve"> Na data e horário previsto no ato convocatório terá início à sessão pública, nesse momento o sistema não identifica as empresas participantes as propostas aparecem em forma de número (participante 1, 2, e assim sucessivamente, no lote seguinte o sistema alterna o número dos participantes). </w:t>
      </w:r>
    </w:p>
    <w:p w14:paraId="3C6D12FA">
      <w:pPr>
        <w:ind w:left="284"/>
        <w:jc w:val="both"/>
      </w:pPr>
    </w:p>
    <w:p w14:paraId="3F7DE107">
      <w:pPr>
        <w:jc w:val="both"/>
      </w:pPr>
      <w:r>
        <w:rPr>
          <w:b/>
        </w:rPr>
        <w:t>7.2.</w:t>
      </w:r>
      <w:r>
        <w:t xml:space="preserve"> O Pregoeiro após análise das propostas de preços apresentadas de forma eletrônica, </w:t>
      </w:r>
      <w:r>
        <w:rPr>
          <w:u w:val="single"/>
        </w:rPr>
        <w:t>desclassificará aquelas que não estiverem em consonância com as regras estabelecidas no instrumento convocatório</w:t>
      </w:r>
      <w:r>
        <w:t xml:space="preserve">, </w:t>
      </w:r>
      <w:r>
        <w:rPr>
          <w:color w:val="000000"/>
        </w:rPr>
        <w:t xml:space="preserve">tais como: </w:t>
      </w:r>
    </w:p>
    <w:p w14:paraId="5B2EAC13">
      <w:pPr>
        <w:ind w:left="284"/>
        <w:jc w:val="both"/>
        <w:rPr>
          <w:color w:val="000000"/>
        </w:rPr>
      </w:pPr>
    </w:p>
    <w:p w14:paraId="288C2946">
      <w:pPr>
        <w:ind w:left="284"/>
        <w:jc w:val="both"/>
      </w:pPr>
      <w:r>
        <w:rPr>
          <w:b/>
        </w:rPr>
        <w:t>7.2.1</w:t>
      </w:r>
      <w:r>
        <w:t xml:space="preserve">. Valores iguais a zero, erros e desvios nos preços de forma a suscitar dúbia interpretação; </w:t>
      </w:r>
    </w:p>
    <w:p w14:paraId="4E155409">
      <w:pPr>
        <w:jc w:val="both"/>
      </w:pPr>
      <w:r>
        <w:rPr>
          <w:b/>
        </w:rPr>
        <w:t>7.3.</w:t>
      </w:r>
      <w:r>
        <w:t xml:space="preserve"> A decisão sobre classificação ou desclassificação de propostas comerciais será disponibilizada no sistema eletrônico para acompanhamento em tempo real por todas as empresas licitantes. </w:t>
      </w:r>
    </w:p>
    <w:p w14:paraId="2345B683">
      <w:pPr>
        <w:jc w:val="both"/>
      </w:pPr>
    </w:p>
    <w:p w14:paraId="44777FE1">
      <w:pPr>
        <w:pStyle w:val="2"/>
        <w:autoSpaceDE w:val="0"/>
        <w:spacing w:before="0" w:after="0"/>
        <w:rPr>
          <w:rFonts w:ascii="Arial" w:hAnsi="Arial" w:cs="Arial"/>
          <w:b/>
          <w:bCs/>
          <w:color w:val="auto"/>
          <w:sz w:val="22"/>
          <w:szCs w:val="22"/>
        </w:rPr>
      </w:pPr>
      <w:bookmarkStart w:id="9" w:name="__RefHeading___Toc190782014"/>
      <w:bookmarkEnd w:id="9"/>
      <w:r>
        <w:rPr>
          <w:rFonts w:ascii="Arial" w:hAnsi="Arial" w:eastAsia="SimSun" w:cs="Arial"/>
          <w:b/>
          <w:bCs/>
          <w:color w:val="auto"/>
          <w:sz w:val="22"/>
          <w:szCs w:val="22"/>
        </w:rPr>
        <w:t>8. DA FORMA DE DISPUTA:</w:t>
      </w:r>
    </w:p>
    <w:p w14:paraId="3771AEBC">
      <w:pPr>
        <w:ind w:left="284"/>
        <w:jc w:val="both"/>
        <w:rPr>
          <w:rFonts w:eastAsia="SimSun"/>
          <w:b/>
          <w:color w:val="000000"/>
          <w:kern w:val="2"/>
        </w:rPr>
      </w:pPr>
    </w:p>
    <w:p w14:paraId="1F492D87">
      <w:pPr>
        <w:jc w:val="both"/>
      </w:pPr>
      <w:r>
        <w:rPr>
          <w:b/>
          <w:color w:val="000000"/>
        </w:rPr>
        <w:t>8.1.</w:t>
      </w:r>
      <w:r>
        <w:rPr>
          <w:color w:val="000000"/>
        </w:rPr>
        <w:t xml:space="preserve"> </w:t>
      </w:r>
      <w:r>
        <w:rPr>
          <w:rFonts w:eastAsia="SimSun"/>
          <w:color w:val="000000"/>
        </w:rPr>
        <w:t xml:space="preserve">Será adotado para o envio de lances no pregão eletrônico o </w:t>
      </w:r>
      <w:r>
        <w:rPr>
          <w:rFonts w:eastAsia="SimSun"/>
          <w:b/>
          <w:color w:val="000000"/>
        </w:rPr>
        <w:t>MODO DE DISPUTA ABERTO</w:t>
      </w:r>
      <w:r>
        <w:rPr>
          <w:rFonts w:eastAsia="SimSun"/>
          <w:color w:val="000000"/>
        </w:rPr>
        <w:t xml:space="preserve"> onde os licitantes apresentarão lances públicos e sucessivos, com prorrogações, conforme o critério de julgamento adotado no edital.</w:t>
      </w:r>
    </w:p>
    <w:p w14:paraId="5564559B">
      <w:pPr>
        <w:ind w:left="284"/>
        <w:jc w:val="both"/>
        <w:rPr>
          <w:rFonts w:eastAsia="SimSun"/>
          <w:b/>
          <w:color w:val="000000"/>
        </w:rPr>
      </w:pPr>
    </w:p>
    <w:p w14:paraId="0534F2AE">
      <w:pPr>
        <w:jc w:val="both"/>
      </w:pPr>
      <w:r>
        <w:rPr>
          <w:b/>
          <w:color w:val="000000"/>
        </w:rPr>
        <w:t>8.</w:t>
      </w:r>
      <w:r>
        <w:rPr>
          <w:rFonts w:eastAsia="SimSun"/>
          <w:b/>
          <w:bCs/>
          <w:color w:val="000000"/>
        </w:rPr>
        <w:t xml:space="preserve">2. </w:t>
      </w:r>
      <w:r>
        <w:rPr>
          <w:color w:val="000000"/>
        </w:rPr>
        <w:t>A etapa de lances da sessão pública terá duração de dez minutos e, após isso, será prorrogada automaticamente pelo sistema quando houver lance ofertado nos últimos dois minutos do período de duração da sessão pública.</w:t>
      </w:r>
    </w:p>
    <w:p w14:paraId="5B4EA8BE">
      <w:pPr>
        <w:ind w:left="284"/>
        <w:jc w:val="both"/>
        <w:rPr>
          <w:rFonts w:eastAsia="SimSun"/>
          <w:color w:val="000000"/>
        </w:rPr>
      </w:pPr>
    </w:p>
    <w:p w14:paraId="73AC6F51">
      <w:pPr>
        <w:autoSpaceDE w:val="0"/>
        <w:jc w:val="both"/>
      </w:pPr>
      <w:r>
        <w:rPr>
          <w:rFonts w:eastAsia="SimSun"/>
          <w:b/>
          <w:color w:val="000000"/>
        </w:rPr>
        <w:t>8.3.</w:t>
      </w:r>
      <w:r>
        <w:rPr>
          <w:rFonts w:eastAsia="SimSun"/>
          <w:color w:val="000000"/>
        </w:rPr>
        <w:t xml:space="preserve"> A prorrogação automática da etapa de envio de lances, será de dois minutos e ocorrerá sucessivamente sempre que houver lances enviados nesse período de prorrogação, inclusive quando se tratar de lances intermediários.</w:t>
      </w:r>
    </w:p>
    <w:p w14:paraId="39375EA7">
      <w:pPr>
        <w:autoSpaceDE w:val="0"/>
        <w:ind w:left="284"/>
        <w:jc w:val="both"/>
        <w:rPr>
          <w:rFonts w:eastAsia="SimSun"/>
          <w:b/>
          <w:color w:val="000000"/>
        </w:rPr>
      </w:pPr>
    </w:p>
    <w:p w14:paraId="1C36F99F">
      <w:pPr>
        <w:autoSpaceDE w:val="0"/>
        <w:jc w:val="both"/>
      </w:pPr>
      <w:r>
        <w:rPr>
          <w:rFonts w:eastAsia="SimSun"/>
          <w:b/>
          <w:color w:val="000000"/>
        </w:rPr>
        <w:t>8.4.</w:t>
      </w:r>
      <w:r>
        <w:rPr>
          <w:rFonts w:eastAsia="SimSun"/>
          <w:color w:val="000000"/>
        </w:rPr>
        <w:t xml:space="preserve"> </w:t>
      </w:r>
      <w:r>
        <w:rPr>
          <w:color w:val="000000"/>
        </w:rPr>
        <w:t xml:space="preserve">Não havendo novos lances na forma estabelecida nos itens </w:t>
      </w:r>
      <w:r>
        <w:rPr>
          <w:rFonts w:eastAsia="SimSun"/>
          <w:b/>
          <w:color w:val="000000"/>
        </w:rPr>
        <w:t>8.2</w:t>
      </w:r>
      <w:r>
        <w:rPr>
          <w:rFonts w:eastAsia="SimSun"/>
          <w:color w:val="000000"/>
        </w:rPr>
        <w:t xml:space="preserve"> e </w:t>
      </w:r>
      <w:r>
        <w:rPr>
          <w:rFonts w:eastAsia="SimSun"/>
          <w:b/>
          <w:color w:val="000000"/>
        </w:rPr>
        <w:t>8.3</w:t>
      </w:r>
      <w:r>
        <w:rPr>
          <w:rFonts w:eastAsia="SimSun"/>
          <w:color w:val="000000"/>
        </w:rPr>
        <w:t>,</w:t>
      </w:r>
      <w:r>
        <w:rPr>
          <w:color w:val="000000"/>
        </w:rPr>
        <w:t xml:space="preserve"> a sessão pública encerrar-se-á automaticamente, e o sistema ordenará e divulgará os lances conforme a ordem final de classificação.</w:t>
      </w:r>
    </w:p>
    <w:p w14:paraId="04131125">
      <w:pPr>
        <w:autoSpaceDE w:val="0"/>
        <w:ind w:left="284"/>
        <w:jc w:val="both"/>
        <w:rPr>
          <w:rFonts w:eastAsia="SimSun"/>
          <w:b/>
          <w:color w:val="000000"/>
        </w:rPr>
      </w:pPr>
    </w:p>
    <w:p w14:paraId="6A857DBF">
      <w:pPr>
        <w:pStyle w:val="2"/>
        <w:autoSpaceDE w:val="0"/>
        <w:spacing w:before="0" w:after="0"/>
        <w:rPr>
          <w:rFonts w:ascii="Arial" w:hAnsi="Arial" w:cs="Arial"/>
          <w:b/>
          <w:bCs/>
          <w:color w:val="000000" w:themeColor="text1"/>
          <w:sz w:val="22"/>
          <w:szCs w:val="22"/>
          <w14:textFill>
            <w14:solidFill>
              <w14:schemeClr w14:val="tx1"/>
            </w14:solidFill>
          </w14:textFill>
        </w:rPr>
      </w:pPr>
      <w:bookmarkStart w:id="10" w:name="__RefHeading___Toc190782015"/>
      <w:r>
        <w:rPr>
          <w:rFonts w:ascii="Arial" w:hAnsi="Arial" w:eastAsia="SimSun" w:cs="Arial"/>
          <w:b/>
          <w:bCs/>
          <w:color w:val="000000" w:themeColor="text1"/>
          <w:sz w:val="22"/>
          <w:szCs w:val="22"/>
          <w14:textFill>
            <w14:solidFill>
              <w14:schemeClr w14:val="tx1"/>
            </w14:solidFill>
          </w14:textFill>
        </w:rPr>
        <w:t>9. DA FASE DE LANCES:</w:t>
      </w:r>
      <w:bookmarkEnd w:id="10"/>
      <w:r>
        <w:rPr>
          <w:rFonts w:ascii="Arial" w:hAnsi="Arial" w:eastAsia="SimSun" w:cs="Arial"/>
          <w:b/>
          <w:bCs/>
          <w:color w:val="000000" w:themeColor="text1"/>
          <w:sz w:val="22"/>
          <w:szCs w:val="22"/>
          <w14:textFill>
            <w14:solidFill>
              <w14:schemeClr w14:val="tx1"/>
            </w14:solidFill>
          </w14:textFill>
        </w:rPr>
        <w:t xml:space="preserve"> </w:t>
      </w:r>
    </w:p>
    <w:p w14:paraId="1E360944">
      <w:pPr>
        <w:autoSpaceDE w:val="0"/>
        <w:ind w:left="284"/>
        <w:jc w:val="both"/>
        <w:rPr>
          <w:rFonts w:eastAsia="SimSun"/>
          <w:b/>
          <w:kern w:val="2"/>
        </w:rPr>
      </w:pPr>
    </w:p>
    <w:p w14:paraId="1A0E395E">
      <w:pPr>
        <w:autoSpaceDE w:val="0"/>
        <w:jc w:val="both"/>
      </w:pPr>
      <w:r>
        <w:rPr>
          <w:b/>
        </w:rPr>
        <w:t>9.1.</w:t>
      </w:r>
      <w:r>
        <w:t xml:space="preserve"> Após a classificação das propostas, iniciar-se-á a fase de lances, na qual os autores das propostas classificadas pelo Pregoeiro poderão </w:t>
      </w:r>
      <w:r>
        <w:rPr>
          <w:b/>
        </w:rPr>
        <w:t>oferecer lances</w:t>
      </w:r>
      <w:r>
        <w:t xml:space="preserve">, obrigatoriamente por meio do sistema eletrônico, sem restrições de quantidade de lances ou de qualquer ordem classificatória ou cronológica específica, mas sempre inferior ao último lance ofertado. </w:t>
      </w:r>
    </w:p>
    <w:p w14:paraId="2EBB7F73">
      <w:pPr>
        <w:ind w:left="284"/>
        <w:jc w:val="both"/>
        <w:rPr>
          <w:b/>
        </w:rPr>
      </w:pPr>
    </w:p>
    <w:p w14:paraId="6A15305F">
      <w:pPr>
        <w:jc w:val="both"/>
      </w:pPr>
      <w:r>
        <w:rPr>
          <w:b/>
        </w:rPr>
        <w:t>9.2.</w:t>
      </w:r>
      <w:r>
        <w:t xml:space="preserve"> </w:t>
      </w:r>
      <w:r>
        <w:rPr>
          <w:color w:val="000000"/>
        </w:rPr>
        <w:t>Caberá a licitante acompanhar as operações no sistema eletrônico durante a sessão pública deste Pregão Eletrônico, ficando responsável pelo ônus decorrente da perda de negócios diante da inobservância de quaisquer mensagens emitidas pelo sistema ou da desconexão do seu representante;</w:t>
      </w:r>
    </w:p>
    <w:p w14:paraId="49EDA54C">
      <w:pPr>
        <w:ind w:left="284"/>
        <w:jc w:val="both"/>
        <w:rPr>
          <w:b/>
          <w:color w:val="000000"/>
        </w:rPr>
      </w:pPr>
    </w:p>
    <w:p w14:paraId="3CEB26F5">
      <w:pPr>
        <w:jc w:val="both"/>
      </w:pPr>
      <w:r>
        <w:rPr>
          <w:b/>
        </w:rPr>
        <w:t>9.3.</w:t>
      </w:r>
      <w:r>
        <w:t xml:space="preserve"> No caso de desconexão do sistema com o Pregoeiro no decorrer da etapa competitiva do pregão, o sistema eletrônico poderá permanecer acessível aos licitantes para a recepção dos lances, os quais continuarão sendo registrados, retornando a conexão o Pregoeiro dará continuidade ao certame, sem prejuízo dos atos realizados. </w:t>
      </w:r>
    </w:p>
    <w:p w14:paraId="24425062">
      <w:pPr>
        <w:ind w:left="284"/>
        <w:jc w:val="both"/>
        <w:rPr>
          <w:b/>
          <w:color w:val="000000"/>
        </w:rPr>
      </w:pPr>
    </w:p>
    <w:p w14:paraId="1F128F1A">
      <w:pPr>
        <w:jc w:val="both"/>
      </w:pPr>
      <w:r>
        <w:rPr>
          <w:b/>
          <w:color w:val="000000"/>
        </w:rPr>
        <w:t>9.4.</w:t>
      </w:r>
      <w:r>
        <w:rPr>
          <w:color w:val="000000"/>
        </w:rPr>
        <w:t xml:space="preserve"> Quando a desconexão persistir por tempo superior a 10 (dez) minutos, a sessão do pregão será suspensa e terá reinício somente após comunicação expressa aos participantes por meio do próprio sistema. Ficando o licitante responsável pelo acompanhamento. </w:t>
      </w:r>
    </w:p>
    <w:p w14:paraId="2608A792">
      <w:pPr>
        <w:ind w:left="284"/>
        <w:jc w:val="both"/>
        <w:rPr>
          <w:b/>
          <w:color w:val="000000"/>
        </w:rPr>
      </w:pPr>
    </w:p>
    <w:p w14:paraId="35115EB0">
      <w:pPr>
        <w:jc w:val="both"/>
      </w:pPr>
      <w:r>
        <w:rPr>
          <w:b/>
        </w:rPr>
        <w:t>9.5.</w:t>
      </w:r>
      <w:r>
        <w:t xml:space="preserve"> Durante o transcurso da sessão de lances, os participantes serão informados em tempo real, do valor do menor lance registrado. </w:t>
      </w:r>
    </w:p>
    <w:p w14:paraId="766A46D3">
      <w:pPr>
        <w:ind w:left="284"/>
        <w:jc w:val="both"/>
      </w:pPr>
    </w:p>
    <w:p w14:paraId="662BF207">
      <w:pPr>
        <w:ind w:left="284"/>
        <w:jc w:val="both"/>
      </w:pPr>
      <w:r>
        <w:rPr>
          <w:b/>
          <w:color w:val="000000"/>
        </w:rPr>
        <w:t>9.5.1.</w:t>
      </w:r>
      <w:r>
        <w:rPr>
          <w:color w:val="000000"/>
        </w:rPr>
        <w:t xml:space="preserve"> N</w:t>
      </w:r>
      <w:r>
        <w:t xml:space="preserve">esse momento o sistema ainda não identifica as empresas participantes as propostas continuam aparecendo em forma de número (participante 1, 2, 3 e assim sucessivamente, no lote seguinte o sistema alterna o número dos participantes). </w:t>
      </w:r>
    </w:p>
    <w:p w14:paraId="3EF0ED9B">
      <w:pPr>
        <w:ind w:left="284"/>
        <w:jc w:val="both"/>
      </w:pPr>
    </w:p>
    <w:p w14:paraId="3BD81ED6">
      <w:pPr>
        <w:autoSpaceDE w:val="0"/>
        <w:jc w:val="both"/>
      </w:pPr>
      <w:r>
        <w:rPr>
          <w:rFonts w:eastAsia="SimSun"/>
          <w:b/>
          <w:color w:val="000000"/>
        </w:rPr>
        <w:t>9.6.</w:t>
      </w:r>
      <w:r>
        <w:rPr>
          <w:rFonts w:eastAsia="SimSun"/>
          <w:color w:val="000000"/>
        </w:rPr>
        <w:t xml:space="preserve"> O licitante somente poderá oferecer valor inferior ao último lance por ele ofertado e registrado pelo sistema, observado, quando houver, o intervalo mínimo de diferença de valores ou de percentuais entre os lances, que incidirá tanto em relação aos lances intermediários quanto em relação ao lance que cobrir a melhor oferta.</w:t>
      </w:r>
    </w:p>
    <w:p w14:paraId="6D23D52D">
      <w:pPr>
        <w:ind w:left="284"/>
        <w:jc w:val="both"/>
        <w:rPr>
          <w:rFonts w:eastAsia="SimSun"/>
          <w:b/>
          <w:color w:val="000000"/>
        </w:rPr>
      </w:pPr>
    </w:p>
    <w:p w14:paraId="12B60C99">
      <w:pPr>
        <w:jc w:val="both"/>
      </w:pPr>
      <w:r>
        <w:rPr>
          <w:b/>
        </w:rPr>
        <w:t>9.7.</w:t>
      </w:r>
      <w:r>
        <w:t xml:space="preserve"> Quando houver um único licitante ou uma única proposta válida, caberá ao Pregoeiro verificar a aceitabilidade do valor ofertado com base no valor de referência levantado pelas secretarias solicitantes.</w:t>
      </w:r>
    </w:p>
    <w:p w14:paraId="6D0DF6C3">
      <w:pPr>
        <w:ind w:left="284"/>
        <w:jc w:val="both"/>
        <w:rPr>
          <w:b/>
        </w:rPr>
      </w:pPr>
    </w:p>
    <w:p w14:paraId="4BC084FC">
      <w:pPr>
        <w:jc w:val="both"/>
      </w:pPr>
      <w:r>
        <w:rPr>
          <w:b/>
        </w:rPr>
        <w:t>9.8.</w:t>
      </w:r>
      <w:r>
        <w:t xml:space="preserve"> Na hipótese de haver lances ou propostas iguais prevalecerão como de menor valor o lance que tiver sido primeiramente registrado. </w:t>
      </w:r>
    </w:p>
    <w:p w14:paraId="33BA91FD">
      <w:pPr>
        <w:ind w:left="284"/>
        <w:jc w:val="both"/>
        <w:rPr>
          <w:b/>
        </w:rPr>
      </w:pPr>
    </w:p>
    <w:p w14:paraId="177F539B">
      <w:pPr>
        <w:jc w:val="both"/>
      </w:pPr>
      <w:r>
        <w:rPr>
          <w:b/>
        </w:rPr>
        <w:t>9.9.</w:t>
      </w:r>
      <w:r>
        <w:t xml:space="preserve"> Nesse momento após o encerramento da etapa de lances do item ou lote conforme o caso, o sistema informará a proposta de menor valor, identificando as empresas participantes pela razão social, verificará e classificará a licitante que se enquadrar como microempresa ou empresa de pequeno porte, nos termos do art. 3º da Lei Complementar nº 123, de 14 de dezembro de 2006.</w:t>
      </w:r>
    </w:p>
    <w:p w14:paraId="0AB719BC">
      <w:pPr>
        <w:ind w:left="284"/>
        <w:jc w:val="both"/>
        <w:rPr>
          <w:b/>
        </w:rPr>
      </w:pPr>
    </w:p>
    <w:p w14:paraId="2D62EC28">
      <w:pPr>
        <w:jc w:val="both"/>
      </w:pPr>
      <w:r>
        <w:rPr>
          <w:b/>
        </w:rPr>
        <w:t xml:space="preserve">9.10. </w:t>
      </w:r>
      <w:r>
        <w:t>Após a disputa final, no caso de empate entre duas ou mais propostas, hipótese em que os licitantes empatados poderão apresentar nova proposta em ato contínuo à classificação, nesse caso, os critérios de desempate são os previstos no art. 60 da Lei 14.133/21.</w:t>
      </w:r>
    </w:p>
    <w:p w14:paraId="0F81C8ED">
      <w:pPr>
        <w:jc w:val="both"/>
      </w:pPr>
    </w:p>
    <w:p w14:paraId="7B5558E8">
      <w:pPr>
        <w:ind w:left="284"/>
        <w:jc w:val="both"/>
      </w:pPr>
      <w:r>
        <w:rPr>
          <w:b/>
        </w:rPr>
        <w:t>9.10.1.</w:t>
      </w:r>
      <w:r>
        <w:t xml:space="preserve"> Só poderá haver empate entre propostas iguais (não seguidas de lances), ou entre lances finais da fase fechada do modo de disputa aberto e fechado.</w:t>
      </w:r>
    </w:p>
    <w:p w14:paraId="1440AC27">
      <w:pPr>
        <w:ind w:left="284"/>
        <w:jc w:val="both"/>
        <w:rPr>
          <w:b/>
        </w:rPr>
      </w:pPr>
    </w:p>
    <w:p w14:paraId="10190EFD">
      <w:pPr>
        <w:ind w:left="284"/>
        <w:jc w:val="both"/>
      </w:pPr>
      <w:r>
        <w:rPr>
          <w:b/>
        </w:rPr>
        <w:t>9.10.2.</w:t>
      </w:r>
      <w:r>
        <w:t xml:space="preserve"> Havendo eventual empate entre propostas ou lances, o critério de desempate será aquele previsto no art. 60 da Lei nº 14.133, de 2021.</w:t>
      </w:r>
    </w:p>
    <w:p w14:paraId="2C60C9F1">
      <w:pPr>
        <w:ind w:left="284"/>
        <w:jc w:val="both"/>
        <w:rPr>
          <w:b/>
          <w:bCs/>
        </w:rPr>
      </w:pPr>
    </w:p>
    <w:p w14:paraId="182FE7B6">
      <w:pPr>
        <w:ind w:left="284"/>
        <w:jc w:val="both"/>
      </w:pPr>
      <w:r>
        <w:rPr>
          <w:b/>
          <w:bCs/>
        </w:rPr>
        <w:t xml:space="preserve">9.10.3. </w:t>
      </w:r>
      <w:r>
        <w:t xml:space="preserve">As regras previstas no (item 9.10) acima mencionado não prejudicarão a aplicação do disposto no art. 44 da Lei Complementar nº 123, de 14 de dezembro de 2006. (Conforme art. 60 da Lei 14.133/21, </w:t>
      </w:r>
      <w:r>
        <w:rPr>
          <w:bCs/>
        </w:rPr>
        <w:t>§ 2º).</w:t>
      </w:r>
      <w:r>
        <w:t> </w:t>
      </w:r>
    </w:p>
    <w:p w14:paraId="00D8FDB3">
      <w:pPr>
        <w:ind w:left="284"/>
        <w:jc w:val="both"/>
        <w:rPr>
          <w:b/>
        </w:rPr>
      </w:pPr>
    </w:p>
    <w:p w14:paraId="1F896192">
      <w:pPr>
        <w:jc w:val="both"/>
      </w:pPr>
      <w:r>
        <w:rPr>
          <w:b/>
        </w:rPr>
        <w:t>9.11.</w:t>
      </w:r>
      <w:r>
        <w:t xml:space="preserve">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470D197">
      <w:pPr>
        <w:ind w:left="284"/>
        <w:jc w:val="both"/>
        <w:rPr>
          <w:b/>
        </w:rPr>
      </w:pPr>
    </w:p>
    <w:p w14:paraId="27257200">
      <w:pPr>
        <w:jc w:val="both"/>
      </w:pPr>
      <w:r>
        <w:rPr>
          <w:b/>
        </w:rPr>
        <w:t>9.12.</w:t>
      </w:r>
      <w: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629327AA">
      <w:pPr>
        <w:ind w:left="284"/>
        <w:jc w:val="both"/>
        <w:rPr>
          <w:b/>
          <w:color w:val="000000"/>
        </w:rPr>
      </w:pPr>
    </w:p>
    <w:p w14:paraId="42659167">
      <w:pPr>
        <w:jc w:val="both"/>
      </w:pPr>
      <w:r>
        <w:rPr>
          <w:b/>
          <w:color w:val="000000"/>
        </w:rPr>
        <w:t>9.13.</w:t>
      </w:r>
      <w:r>
        <w:rPr>
          <w:color w:val="000000"/>
        </w:rPr>
        <w:t xml:space="preserve"> O pregoeiro solicitará ao licitante melhor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11" w:name="_Hlk117016948"/>
    </w:p>
    <w:bookmarkEnd w:id="11"/>
    <w:p w14:paraId="4D8804CB">
      <w:pPr>
        <w:ind w:left="284"/>
        <w:jc w:val="both"/>
        <w:rPr>
          <w:b/>
          <w:color w:val="000000"/>
        </w:rPr>
      </w:pPr>
    </w:p>
    <w:p w14:paraId="762CBA8E">
      <w:pPr>
        <w:jc w:val="both"/>
      </w:pPr>
      <w:r>
        <w:rPr>
          <w:b/>
          <w:color w:val="000000"/>
        </w:rPr>
        <w:t>9.14.</w:t>
      </w:r>
      <w:r>
        <w:rPr>
          <w:color w:val="000000"/>
        </w:rPr>
        <w:t xml:space="preserve"> É facultado ao pregoeiro prorrogar o prazo estabelecido, a partir de solicitação fundamentada feita no chat pelo licitante, antes de findo o prazo.</w:t>
      </w:r>
    </w:p>
    <w:p w14:paraId="2273624E">
      <w:pPr>
        <w:pStyle w:val="2"/>
        <w:autoSpaceDE w:val="0"/>
        <w:spacing w:before="0" w:after="0"/>
        <w:jc w:val="both"/>
        <w:rPr>
          <w:rFonts w:ascii="Arial" w:hAnsi="Arial" w:cs="Arial"/>
          <w:b/>
          <w:bCs/>
          <w:color w:val="auto"/>
          <w:sz w:val="22"/>
          <w:szCs w:val="22"/>
        </w:rPr>
      </w:pPr>
      <w:bookmarkStart w:id="12" w:name="__RefHeading___Toc190782016"/>
      <w:r>
        <w:rPr>
          <w:rFonts w:ascii="Arial" w:hAnsi="Arial" w:eastAsia="SimSun" w:cs="Arial"/>
          <w:b/>
          <w:bCs/>
          <w:color w:val="auto"/>
          <w:sz w:val="22"/>
          <w:szCs w:val="22"/>
        </w:rPr>
        <w:t>10. DO JULGAMENTO DA(S) PROPOSTA(S) DE PREÇOS APÓS A CLASSIFICAÇÃO FINAL:</w:t>
      </w:r>
      <w:bookmarkEnd w:id="12"/>
      <w:r>
        <w:rPr>
          <w:rFonts w:ascii="Arial" w:hAnsi="Arial" w:eastAsia="SimSun" w:cs="Arial"/>
          <w:b/>
          <w:bCs/>
          <w:color w:val="auto"/>
          <w:sz w:val="22"/>
          <w:szCs w:val="22"/>
        </w:rPr>
        <w:t xml:space="preserve"> </w:t>
      </w:r>
    </w:p>
    <w:p w14:paraId="3F8EFE09">
      <w:pPr>
        <w:ind w:left="284"/>
        <w:jc w:val="both"/>
        <w:rPr>
          <w:rFonts w:eastAsia="SimSun"/>
          <w:b/>
          <w:kern w:val="2"/>
        </w:rPr>
      </w:pPr>
      <w:bookmarkStart w:id="13" w:name="_Ref117019424"/>
    </w:p>
    <w:p w14:paraId="6BB485D8">
      <w:pPr>
        <w:jc w:val="both"/>
      </w:pPr>
      <w:r>
        <w:rPr>
          <w:b/>
        </w:rPr>
        <w:t>10.1.</w:t>
      </w:r>
      <w:r>
        <w:t xml:space="preserve"> Encerrada a etapa de negociação, o pregoeiro verificará se o licitante provisoriamente classificado em primeiro lugar atende às condições de participação no certame, conforme previsto no </w:t>
      </w:r>
      <w:r>
        <w:fldChar w:fldCharType="begin"/>
      </w:r>
      <w:r>
        <w:instrText xml:space="preserve"> HYPERLINK "http://www.planalto.gov.br/ccivil_03/_ato2019-2022/2021/lei/L14133.htm" \l "art14" </w:instrText>
      </w:r>
      <w:r>
        <w:fldChar w:fldCharType="separate"/>
      </w:r>
      <w:r>
        <w:rPr>
          <w:rStyle w:val="19"/>
        </w:rPr>
        <w:t>art. 14 da Lei nº 14.133/2021</w:t>
      </w:r>
      <w:r>
        <w:rPr>
          <w:rStyle w:val="19"/>
        </w:rPr>
        <w:fldChar w:fldCharType="end"/>
      </w:r>
      <w:r>
        <w:t xml:space="preserve">, legislação correlata e no item do edital, </w:t>
      </w:r>
      <w:bookmarkEnd w:id="13"/>
      <w:r>
        <w:t>especialmente quanto à existência de sanção que impeça a participação no certame ou a futura contratação, mediante a consulta aos seguintes cadastros:</w:t>
      </w:r>
    </w:p>
    <w:p w14:paraId="077FA2DD">
      <w:pPr>
        <w:ind w:left="284"/>
        <w:jc w:val="both"/>
        <w:rPr>
          <w:b/>
          <w:bCs/>
          <w:color w:val="000000"/>
        </w:rPr>
      </w:pPr>
    </w:p>
    <w:p w14:paraId="4697A145">
      <w:pPr>
        <w:ind w:left="284"/>
        <w:jc w:val="both"/>
      </w:pPr>
      <w:r>
        <w:rPr>
          <w:b/>
          <w:bCs/>
          <w:color w:val="000000"/>
        </w:rPr>
        <w:t xml:space="preserve">10.1.1. </w:t>
      </w:r>
      <w:r>
        <w:rPr>
          <w:color w:val="000000"/>
        </w:rPr>
        <w:t xml:space="preserve">Casos não se realizem lances serão verificados a conformidade entre a proposta de menor valor e o valor estimado da contratação, podendo o Pregoeiro negociar com o licitante afim de conseguir menor preço. </w:t>
      </w:r>
    </w:p>
    <w:p w14:paraId="4212BB9E">
      <w:pPr>
        <w:ind w:left="284"/>
        <w:jc w:val="both"/>
        <w:rPr>
          <w:b/>
          <w:bCs/>
          <w:color w:val="000000"/>
        </w:rPr>
      </w:pPr>
      <w:bookmarkStart w:id="14" w:name="OLE_LINK1"/>
    </w:p>
    <w:p w14:paraId="63B47749">
      <w:pPr>
        <w:jc w:val="both"/>
      </w:pPr>
      <w:r>
        <w:rPr>
          <w:b/>
          <w:bCs/>
        </w:rPr>
        <w:t xml:space="preserve">10.2. Da aceitabilidade da proposta melhor classificada, não será aceita a proposta ou melhor lance classificado cujo preço seja acima do valor estimado pela Secretaria solicitante ou quando este for manifestamente inexequível. </w:t>
      </w:r>
    </w:p>
    <w:p w14:paraId="1D511206">
      <w:pPr>
        <w:ind w:left="284"/>
        <w:jc w:val="both"/>
        <w:rPr>
          <w:b/>
          <w:bCs/>
        </w:rPr>
      </w:pPr>
    </w:p>
    <w:p w14:paraId="4A2D363D">
      <w:pPr>
        <w:ind w:left="284"/>
        <w:jc w:val="both"/>
      </w:pPr>
      <w:r>
        <w:rPr>
          <w:b/>
          <w:bCs/>
        </w:rPr>
        <w:t xml:space="preserve">10.2.1. </w:t>
      </w:r>
      <w:r>
        <w:rPr>
          <w:bCs/>
        </w:rPr>
        <w:t>Considera-se inexequível a proposta de preços ou menor lance que comprovadamente, for insuficiente para a cobertura dos custos da contratação,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serviços de instalações de propriedade do próprio licitante, para os quais ele renuncie a parcela ou à totalidade da remuneração.</w:t>
      </w:r>
    </w:p>
    <w:p w14:paraId="438695A1">
      <w:pPr>
        <w:autoSpaceDE w:val="0"/>
        <w:ind w:left="284"/>
        <w:jc w:val="both"/>
        <w:rPr>
          <w:bCs/>
        </w:rPr>
      </w:pPr>
    </w:p>
    <w:p w14:paraId="1D2728AB">
      <w:pPr>
        <w:autoSpaceDE w:val="0"/>
        <w:jc w:val="both"/>
      </w:pPr>
      <w:r>
        <w:rPr>
          <w:b/>
          <w:bCs/>
          <w:color w:val="000000"/>
        </w:rPr>
        <w:t xml:space="preserve">10.3. </w:t>
      </w:r>
      <w:r>
        <w:rPr>
          <w:bCs/>
          <w:color w:val="000000"/>
        </w:rPr>
        <w:t>Se houver indícios de inexequibilidade da proposta de preço, ou em caso da necessidade de esclarecimentos complementares, poderão ser efetuadas diligências,</w:t>
      </w:r>
      <w:r>
        <w:rPr>
          <w:bCs/>
          <w:color w:val="FF0000"/>
        </w:rPr>
        <w:t xml:space="preserve"> </w:t>
      </w:r>
      <w:r>
        <w:rPr>
          <w:color w:val="000000"/>
        </w:rPr>
        <w:t>para aferir a exequibilidade das propostas ou exigir dos licitantes que ela seja demonstrada, conforme disposto no inciso IV do </w:t>
      </w:r>
      <w:r>
        <w:rPr>
          <w:b/>
          <w:bCs/>
          <w:color w:val="000000"/>
        </w:rPr>
        <w:t>caput</w:t>
      </w:r>
      <w:r>
        <w:rPr>
          <w:color w:val="000000"/>
        </w:rPr>
        <w:t> do artigo 59 da Lei 14.133/2021.</w:t>
      </w:r>
    </w:p>
    <w:p w14:paraId="024FE02C">
      <w:pPr>
        <w:autoSpaceDE w:val="0"/>
        <w:ind w:left="284"/>
        <w:jc w:val="both"/>
        <w:rPr>
          <w:b/>
          <w:bCs/>
          <w:color w:val="000000"/>
        </w:rPr>
      </w:pPr>
    </w:p>
    <w:p w14:paraId="4D57A65D">
      <w:pPr>
        <w:autoSpaceDE w:val="0"/>
        <w:jc w:val="both"/>
      </w:pPr>
      <w:r>
        <w:rPr>
          <w:b/>
          <w:bCs/>
        </w:rPr>
        <w:t xml:space="preserve">10.4. </w:t>
      </w:r>
      <w:r>
        <w:rPr>
          <w:bCs/>
        </w:rPr>
        <w:t>P</w:t>
      </w:r>
      <w:r>
        <w:rPr>
          <w:color w:val="000000"/>
          <w:lang w:eastAsia="en-US"/>
        </w:rPr>
        <w:t>oderá convocar o licitante para enviar planilhas de custo readequadas com o valor final por ele ofertado, nesse sentido, todos</w:t>
      </w:r>
      <w:r>
        <w:rPr>
          <w:bCs/>
          <w:iCs/>
          <w:color w:val="000000"/>
        </w:rPr>
        <w:t xml:space="preserve"> os dados informados pelo licitante em sua planilha deverão refletir com fidelidade os custos especificados e a margem de lucro pretendida, </w:t>
      </w:r>
      <w:r>
        <w:rPr>
          <w:color w:val="000000"/>
          <w:lang w:eastAsia="en-US"/>
        </w:rPr>
        <w:t>sob pena de não aceitação da proposta.</w:t>
      </w:r>
    </w:p>
    <w:p w14:paraId="36962856">
      <w:pPr>
        <w:autoSpaceDE w:val="0"/>
        <w:ind w:left="284"/>
        <w:jc w:val="both"/>
        <w:rPr>
          <w:color w:val="000000"/>
          <w:lang w:eastAsia="en-US"/>
        </w:rPr>
      </w:pPr>
    </w:p>
    <w:p w14:paraId="399640F6">
      <w:pPr>
        <w:autoSpaceDE w:val="0"/>
        <w:jc w:val="both"/>
      </w:pPr>
      <w:r>
        <w:rPr>
          <w:b/>
          <w:color w:val="000000"/>
          <w:lang w:eastAsia="en-US"/>
        </w:rPr>
        <w:t>10.5.</w:t>
      </w:r>
      <w:r>
        <w:rPr>
          <w:color w:val="000000"/>
          <w:lang w:eastAsia="en-US"/>
        </w:rPr>
        <w:t xml:space="preserve"> O Pregoeiro auxiliado pela equipe técnica analisará a compatibilidade dos preços unitários apresentados na Planilha de Custos e Formação de Preços com aqueles descritos no termo de referência.</w:t>
      </w:r>
    </w:p>
    <w:p w14:paraId="5446EF6A">
      <w:pPr>
        <w:autoSpaceDE w:val="0"/>
        <w:ind w:left="284"/>
        <w:jc w:val="both"/>
        <w:rPr>
          <w:color w:val="000000"/>
          <w:lang w:eastAsia="en-US"/>
        </w:rPr>
      </w:pPr>
    </w:p>
    <w:p w14:paraId="405B8B60">
      <w:pPr>
        <w:autoSpaceDE w:val="0"/>
        <w:jc w:val="both"/>
      </w:pPr>
      <w:r>
        <w:rPr>
          <w:b/>
          <w:color w:val="000000"/>
          <w:lang w:eastAsia="en-US"/>
        </w:rPr>
        <w:t>10.6.</w:t>
      </w:r>
      <w:r>
        <w:rPr>
          <w:color w:val="000000"/>
          <w:lang w:eastAsia="en-US"/>
        </w:rPr>
        <w:t xml:space="preserve"> </w:t>
      </w:r>
      <w:r>
        <w:rPr>
          <w:b/>
          <w:color w:val="000000"/>
          <w:lang w:eastAsia="en-US"/>
        </w:rPr>
        <w:t>Se a oferta da primeira classificada</w:t>
      </w:r>
      <w:r>
        <w:rPr>
          <w:color w:val="000000"/>
          <w:lang w:eastAsia="en-US"/>
        </w:rPr>
        <w:t xml:space="preserve"> não for aceitável ou se a licitante desatender às exigências habilitatórias, será examinado a oferta subsequente, verificando a sua aceitabilidade e procedendo à habilitação do licitante, na ordem de classificação, e assim sucessivamente, até a apuração de uma proposta que atenda ao edital, sendo o respectivo licitante declarado vencedor e a ele adjudicado o objeto do certame.</w:t>
      </w:r>
    </w:p>
    <w:p w14:paraId="12FEC1DC">
      <w:pPr>
        <w:autoSpaceDE w:val="0"/>
        <w:ind w:left="284"/>
        <w:jc w:val="both"/>
        <w:rPr>
          <w:color w:val="000000"/>
          <w:lang w:eastAsia="en-US"/>
        </w:rPr>
      </w:pPr>
    </w:p>
    <w:p w14:paraId="525FE28C">
      <w:pPr>
        <w:pStyle w:val="2"/>
        <w:autoSpaceDE w:val="0"/>
        <w:spacing w:before="0" w:after="0"/>
        <w:jc w:val="both"/>
        <w:rPr>
          <w:rFonts w:ascii="Arial" w:hAnsi="Arial" w:cs="Arial"/>
          <w:b/>
          <w:bCs/>
          <w:color w:val="000000" w:themeColor="text1"/>
          <w:sz w:val="22"/>
          <w:szCs w:val="22"/>
          <w14:textFill>
            <w14:solidFill>
              <w14:schemeClr w14:val="tx1"/>
            </w14:solidFill>
          </w14:textFill>
        </w:rPr>
      </w:pPr>
      <w:bookmarkStart w:id="15" w:name="__RefHeading___Toc190782017"/>
      <w:bookmarkEnd w:id="15"/>
      <w:r>
        <w:rPr>
          <w:rFonts w:ascii="Arial" w:hAnsi="Arial" w:eastAsia="SimSun" w:cs="Arial"/>
          <w:b/>
          <w:bCs/>
          <w:color w:val="000000" w:themeColor="text1"/>
          <w:sz w:val="22"/>
          <w:szCs w:val="22"/>
          <w14:textFill>
            <w14:solidFill>
              <w14:schemeClr w14:val="tx1"/>
            </w14:solidFill>
          </w14:textFill>
        </w:rPr>
        <w:t>11. DO ENVIO DAS PROPOSTAS REALINHADAS APÓS CONHECIDA A EMPRESA VENCEDORA:</w:t>
      </w:r>
    </w:p>
    <w:p w14:paraId="4382F598">
      <w:pPr>
        <w:rPr>
          <w:rFonts w:eastAsia="SimSun"/>
          <w:kern w:val="2"/>
        </w:rPr>
      </w:pPr>
    </w:p>
    <w:p w14:paraId="12148ECE">
      <w:pPr>
        <w:jc w:val="both"/>
      </w:pPr>
      <w:r>
        <w:rPr>
          <w:b/>
          <w:color w:val="000000"/>
        </w:rPr>
        <w:t>11.1.</w:t>
      </w:r>
      <w:r>
        <w:rPr>
          <w:color w:val="000000"/>
        </w:rPr>
        <w:t xml:space="preserve"> Após a realização da sessão pública a licitante vencedora da etapa de lances e habilitada na fase de documentos no prazo máximo de </w:t>
      </w:r>
      <w:r>
        <w:rPr>
          <w:color w:val="000000"/>
          <w:u w:val="single"/>
        </w:rPr>
        <w:t>02 (duas) horas</w:t>
      </w:r>
      <w:r>
        <w:rPr>
          <w:color w:val="000000"/>
        </w:rPr>
        <w:t xml:space="preserve">, contados do encerramento da sessão, deverá cadastrar a </w:t>
      </w:r>
      <w:r>
        <w:rPr>
          <w:b/>
          <w:color w:val="000000"/>
        </w:rPr>
        <w:t xml:space="preserve">Proposta de Preços Realinhada na plataforma BLL, </w:t>
      </w:r>
      <w:r>
        <w:rPr>
          <w:color w:val="000000"/>
        </w:rPr>
        <w:t xml:space="preserve">bem como, encaminhá-la </w:t>
      </w:r>
      <w:r>
        <w:t>devidamente datadas e assinadas na última folha e rubricadas nas demais pelo representante legal da empresa. (</w:t>
      </w:r>
      <w:r>
        <w:rPr>
          <w:b/>
        </w:rPr>
        <w:t xml:space="preserve">Endereço eletrônico e-mail: </w:t>
      </w:r>
      <w:r>
        <w:fldChar w:fldCharType="begin"/>
      </w:r>
      <w:r>
        <w:instrText xml:space="preserve"> HYPERLINK "mailto:pmrroo@hotmail.com" </w:instrText>
      </w:r>
      <w:r>
        <w:fldChar w:fldCharType="separate"/>
      </w:r>
      <w:r>
        <w:rPr>
          <w:rStyle w:val="19"/>
          <w:b/>
        </w:rPr>
        <w:t>pmrroo@hotmail.com</w:t>
      </w:r>
      <w:r>
        <w:rPr>
          <w:rStyle w:val="19"/>
          <w:b/>
        </w:rPr>
        <w:fldChar w:fldCharType="end"/>
      </w:r>
      <w:r>
        <w:t>).</w:t>
      </w:r>
    </w:p>
    <w:p w14:paraId="39B72C5C">
      <w:pPr>
        <w:ind w:left="284"/>
        <w:jc w:val="both"/>
        <w:rPr>
          <w:b/>
          <w:color w:val="000000"/>
        </w:rPr>
      </w:pPr>
    </w:p>
    <w:p w14:paraId="432D8FC0">
      <w:pPr>
        <w:ind w:left="284"/>
        <w:jc w:val="both"/>
      </w:pPr>
      <w:r>
        <w:rPr>
          <w:b/>
          <w:color w:val="000000"/>
        </w:rPr>
        <w:t>11.1.1.</w:t>
      </w:r>
      <w:r>
        <w:rPr>
          <w:color w:val="000000"/>
        </w:rPr>
        <w:t xml:space="preserve"> Caso o licitante venha a ser classificado em razão da desclassificação do(s) primeiro(s) colocado(s), este também terá </w:t>
      </w:r>
      <w:r>
        <w:rPr>
          <w:color w:val="000000"/>
          <w:u w:val="single"/>
        </w:rPr>
        <w:t>02 (duas) horas</w:t>
      </w:r>
      <w:r>
        <w:rPr>
          <w:color w:val="000000"/>
        </w:rPr>
        <w:t xml:space="preserve"> a partir da data da comunicação de sua classificação para efetuar a recomposição de preços. </w:t>
      </w:r>
    </w:p>
    <w:p w14:paraId="45F099C8">
      <w:pPr>
        <w:ind w:left="284"/>
        <w:jc w:val="both"/>
        <w:rPr>
          <w:b/>
          <w:color w:val="000000"/>
        </w:rPr>
      </w:pPr>
    </w:p>
    <w:p w14:paraId="3A48701D">
      <w:pPr>
        <w:jc w:val="both"/>
      </w:pPr>
      <w:r>
        <w:rPr>
          <w:b/>
          <w:color w:val="000000"/>
        </w:rPr>
        <w:t>11.2.</w:t>
      </w:r>
      <w:r>
        <w:rPr>
          <w:color w:val="000000"/>
        </w:rPr>
        <w:t xml:space="preserve"> A proposta de preços realinhada deverá ser redigida com clareza em língua portuguesa, salvo quanto a expressões técnicas de uso corrente, sem alternativas, emendas, rasuras ou entrelinhas.</w:t>
      </w:r>
    </w:p>
    <w:p w14:paraId="0801D5F1">
      <w:pPr>
        <w:ind w:left="284"/>
        <w:jc w:val="both"/>
      </w:pPr>
      <w:r>
        <w:rPr>
          <w:b/>
          <w:color w:val="000000"/>
        </w:rPr>
        <w:t xml:space="preserve"> </w:t>
      </w:r>
    </w:p>
    <w:p w14:paraId="49792404">
      <w:pPr>
        <w:jc w:val="both"/>
      </w:pPr>
      <w:r>
        <w:rPr>
          <w:b/>
          <w:color w:val="000000"/>
        </w:rPr>
        <w:t>11.3.</w:t>
      </w:r>
      <w:r>
        <w:rPr>
          <w:color w:val="000000"/>
        </w:rPr>
        <w:t xml:space="preserve"> Não serão aceitas propostas com valores unitários e totais com mais de duas casas decimais. Caso ocorra o valor deverá ser arredondado para menor.</w:t>
      </w:r>
    </w:p>
    <w:p w14:paraId="47678066">
      <w:pPr>
        <w:ind w:left="426"/>
        <w:jc w:val="both"/>
        <w:rPr>
          <w:bCs/>
          <w:color w:val="000000"/>
        </w:rPr>
      </w:pPr>
    </w:p>
    <w:p w14:paraId="68B5A5D0">
      <w:pPr>
        <w:pStyle w:val="2"/>
        <w:autoSpaceDE w:val="0"/>
        <w:spacing w:before="0" w:after="0"/>
        <w:jc w:val="both"/>
        <w:rPr>
          <w:rFonts w:ascii="Arial" w:hAnsi="Arial" w:cs="Arial"/>
          <w:b/>
          <w:bCs/>
          <w:color w:val="auto"/>
          <w:sz w:val="22"/>
          <w:szCs w:val="22"/>
          <w:highlight w:val="yellow"/>
        </w:rPr>
      </w:pPr>
      <w:bookmarkStart w:id="16" w:name="__RefHeading___Toc190782018"/>
      <w:bookmarkEnd w:id="16"/>
      <w:r>
        <w:rPr>
          <w:rFonts w:ascii="Arial" w:hAnsi="Arial" w:eastAsia="SimSun" w:cs="Arial"/>
          <w:b/>
          <w:bCs/>
          <w:color w:val="auto"/>
          <w:sz w:val="22"/>
          <w:szCs w:val="22"/>
          <w:highlight w:val="yellow"/>
        </w:rPr>
        <w:t>12. DA PARTICIPAÇÃO DE MICROEMPRESA E EMPRESA DE PEQUENO PORTE:</w:t>
      </w:r>
    </w:p>
    <w:bookmarkEnd w:id="14"/>
    <w:p w14:paraId="7449A568">
      <w:pPr>
        <w:spacing w:before="100" w:beforeAutospacing="1" w:after="100" w:afterAutospacing="1"/>
        <w:jc w:val="both"/>
        <w:rPr>
          <w:color w:val="000000"/>
          <w:highlight w:val="yellow"/>
        </w:rPr>
      </w:pPr>
      <w:bookmarkStart w:id="17" w:name="__RefHeading___Toc190782019"/>
      <w:r>
        <w:rPr>
          <w:color w:val="000000"/>
          <w:highlight w:val="yellow"/>
        </w:rPr>
        <w:t>12.1. Em observância ao disposto no art. 48, incisos I e III, da Lei Complementar nº 123/2006, a Administração, de forma motivada, deixa de aplicar os benefícios relativos à contratação exclusiva para microempresas e empresas de pequeno porte (até R$ 80.000,00) e à reserva de cotas de até 25% em itens de natureza divisível, tendo em vista a natureza do objeto ora licitado e a inviabilidade de seu fracionamento.</w:t>
      </w:r>
    </w:p>
    <w:p w14:paraId="485B89FB">
      <w:pPr>
        <w:spacing w:before="100" w:beforeAutospacing="1" w:after="100" w:afterAutospacing="1"/>
        <w:jc w:val="both"/>
        <w:rPr>
          <w:color w:val="000000"/>
          <w:highlight w:val="yellow"/>
        </w:rPr>
      </w:pPr>
      <w:r>
        <w:rPr>
          <w:color w:val="000000"/>
          <w:highlight w:val="yellow"/>
        </w:rPr>
        <w:t>12.2. O certame será, portanto, de participação ampla, assegurando-se, entretanto, às microempresas e empresas de pequeno porte, como critério de desempate, a preferência de contratação, nos termos dos arts. 44 e 45 da Lei Complementar nº 123/2006, observando-se o procedimento de julgamento descrito neste edital.</w:t>
      </w:r>
    </w:p>
    <w:p w14:paraId="7AC93E1E">
      <w:pPr>
        <w:spacing w:before="100" w:beforeAutospacing="1" w:after="100" w:afterAutospacing="1"/>
        <w:jc w:val="both"/>
        <w:rPr>
          <w:color w:val="000000"/>
          <w:highlight w:val="yellow"/>
        </w:rPr>
      </w:pPr>
      <w:r>
        <w:rPr>
          <w:color w:val="000000"/>
          <w:highlight w:val="yellow"/>
        </w:rPr>
        <w:t>12.3. Em conformidade com o art. 43, §1º, da Lei Complementar nº 123/2006, será assegurado às microempresas e empresas de pequeno porte o prazo de 5 (cinco) dias úteis, prorrogáveis por igual período, para regularização da documentação fiscal que apresente restrições no momento da sessão pública.</w:t>
      </w:r>
    </w:p>
    <w:p w14:paraId="1561003C">
      <w:pPr>
        <w:spacing w:before="100" w:beforeAutospacing="1" w:after="100" w:afterAutospacing="1"/>
        <w:jc w:val="both"/>
        <w:rPr>
          <w:color w:val="000000"/>
        </w:rPr>
      </w:pPr>
      <w:r>
        <w:rPr>
          <w:color w:val="000000"/>
          <w:highlight w:val="yellow"/>
        </w:rPr>
        <w:t>12.4. Aplica-se às cooperativas que se enquadrem nos limites de receita previstos para microempresas e empresas de pequeno porte os benefícios da Lei Complementar nº 123/2006, nos termos do art. 34 da Lei nº 11.488/2007.</w:t>
      </w:r>
    </w:p>
    <w:p w14:paraId="10509D24">
      <w:pPr>
        <w:pStyle w:val="2"/>
        <w:autoSpaceDE w:val="0"/>
        <w:spacing w:before="0" w:after="0"/>
        <w:rPr>
          <w:rFonts w:ascii="Arial" w:hAnsi="Arial" w:cs="Arial"/>
          <w:b/>
          <w:bCs/>
          <w:color w:val="auto"/>
          <w:sz w:val="22"/>
          <w:szCs w:val="22"/>
        </w:rPr>
      </w:pPr>
      <w:r>
        <w:rPr>
          <w:rFonts w:ascii="Arial" w:hAnsi="Arial" w:eastAsia="SimSun" w:cs="Arial"/>
          <w:b/>
          <w:bCs/>
          <w:color w:val="auto"/>
          <w:sz w:val="22"/>
          <w:szCs w:val="22"/>
        </w:rPr>
        <w:t>13. DOS DOCUMENTOS EXIGIDOS PARA HABILITAÇÃO:</w:t>
      </w:r>
      <w:bookmarkEnd w:id="17"/>
      <w:r>
        <w:rPr>
          <w:rFonts w:ascii="Arial" w:hAnsi="Arial" w:eastAsia="SimSun" w:cs="Arial"/>
          <w:b/>
          <w:bCs/>
          <w:color w:val="auto"/>
          <w:sz w:val="22"/>
          <w:szCs w:val="22"/>
        </w:rPr>
        <w:t xml:space="preserve"> </w:t>
      </w:r>
    </w:p>
    <w:p w14:paraId="7FA91BB5">
      <w:pPr>
        <w:jc w:val="both"/>
        <w:rPr>
          <w:rFonts w:eastAsia="SimSun"/>
          <w:b/>
          <w:kern w:val="2"/>
          <w:highlight w:val="yellow"/>
        </w:rPr>
      </w:pPr>
    </w:p>
    <w:p w14:paraId="1598E059">
      <w:pPr>
        <w:jc w:val="both"/>
      </w:pPr>
      <w:r>
        <w:rPr>
          <w:b/>
        </w:rPr>
        <w:t xml:space="preserve">13.1. </w:t>
      </w:r>
      <w:r>
        <w:rPr>
          <w:lang w:eastAsia="en-US"/>
        </w:rPr>
        <w:t>Os documentos exigidos do (s) vencedor (es) para habilitação, deverão ser anexados exclusivamente na plataforma da BLL, em até 2 (duas) horas após o encerramento da sessão (art. 62 a 70 da Lei 14.133/21):</w:t>
      </w:r>
    </w:p>
    <w:p w14:paraId="457B638F">
      <w:pPr>
        <w:pStyle w:val="91"/>
        <w:jc w:val="both"/>
        <w:rPr>
          <w:rFonts w:ascii="Arial" w:hAnsi="Arial" w:cs="Arial"/>
          <w:sz w:val="22"/>
          <w:szCs w:val="22"/>
        </w:rPr>
      </w:pPr>
      <w:r>
        <w:rPr>
          <w:rFonts w:ascii="Arial" w:hAnsi="Arial" w:eastAsia="Times New Roman" w:cs="Arial"/>
          <w:b/>
          <w:sz w:val="22"/>
          <w:szCs w:val="22"/>
        </w:rPr>
        <w:t xml:space="preserve">13.2 A DOCUMENTAÇÃO RELATIVA À HABILITAÇÃO JURÍDICA CONSISTE EM: </w:t>
      </w:r>
    </w:p>
    <w:p w14:paraId="29A736D9">
      <w:pPr>
        <w:ind w:left="284"/>
        <w:jc w:val="both"/>
        <w:rPr>
          <w:b/>
        </w:rPr>
      </w:pPr>
    </w:p>
    <w:p w14:paraId="0EEFEAC4">
      <w:pPr>
        <w:ind w:left="426"/>
        <w:jc w:val="both"/>
      </w:pPr>
      <w:r>
        <w:rPr>
          <w:b/>
        </w:rPr>
        <w:t xml:space="preserve">13.2.1. </w:t>
      </w:r>
      <w:r>
        <w:t>No caso de empresário individual, inscrição no Registro Público de Empresas Mercantis, a cargo da Junta Comercial da respectiva sede; Microempreendedor Individual - MEI: Certificado da Condição de Microempreendedor Individual - CCMEI</w:t>
      </w:r>
    </w:p>
    <w:p w14:paraId="250E2311">
      <w:pPr>
        <w:ind w:left="426"/>
        <w:jc w:val="both"/>
        <w:rPr>
          <w:b/>
        </w:rPr>
      </w:pPr>
    </w:p>
    <w:p w14:paraId="2A64100E">
      <w:pPr>
        <w:ind w:left="426"/>
        <w:jc w:val="both"/>
      </w:pPr>
      <w:r>
        <w:rPr>
          <w:b/>
        </w:rPr>
        <w:t>13.2.2.</w:t>
      </w:r>
      <w:r>
        <w:t xml:space="preserve">  Ato constitutivo, estatuto ou contrato social e alterações em vigor, devidamente registrado, em se tratando de sociedades comerciais e, no caso de sociedades por ações, acompanhado de documentos de eleição de seus administradores; </w:t>
      </w:r>
    </w:p>
    <w:p w14:paraId="5BC8AA7F">
      <w:pPr>
        <w:ind w:left="426"/>
        <w:jc w:val="both"/>
      </w:pPr>
      <w:r>
        <w:rPr>
          <w:b/>
        </w:rPr>
        <w:t>13.2.3.</w:t>
      </w:r>
      <w:r>
        <w:t xml:space="preserve">  Inscrição do ato constitutivo, no caso de sociedades civis, acompanhada de prova de diretoria em exercício; </w:t>
      </w:r>
    </w:p>
    <w:p w14:paraId="3C41B9EE">
      <w:pPr>
        <w:ind w:left="426"/>
        <w:jc w:val="both"/>
      </w:pPr>
    </w:p>
    <w:p w14:paraId="4086B99A">
      <w:pPr>
        <w:ind w:left="426"/>
        <w:jc w:val="both"/>
      </w:pPr>
      <w:r>
        <w:rPr>
          <w:b/>
        </w:rPr>
        <w:t>13.2.4.</w:t>
      </w:r>
      <w:r>
        <w:t xml:space="preserve"> Decreto de autorização, em se tratando de empresa ou sociedade estrangeira em funcionamento no País, e ato de registro ou autorização para funcionamento expedido pelo Órgão competente, quando a atividade assim o exigir; </w:t>
      </w:r>
    </w:p>
    <w:p w14:paraId="0B8B1021">
      <w:pPr>
        <w:ind w:left="426"/>
        <w:jc w:val="both"/>
      </w:pPr>
    </w:p>
    <w:p w14:paraId="70F68AE4">
      <w:pPr>
        <w:ind w:left="426"/>
        <w:jc w:val="both"/>
      </w:pPr>
      <w:r>
        <w:rPr>
          <w:b/>
        </w:rPr>
        <w:t>13.2.5.</w:t>
      </w:r>
      <w:r>
        <w:t xml:space="preserve"> Cópia do documento de Identidade e CPF dos Representantes Legais da empresa; sociedade cooperativa: ata de fundação e estatuto social em vigor, com a ata da assembleia que o aprovou, devidamente arquivado na Junta Comercial da respectiva sede, bem como o registro de que trata o art. 107 da Lei nº 5.764, de 1971.</w:t>
      </w:r>
    </w:p>
    <w:p w14:paraId="3D3B42EA">
      <w:pPr>
        <w:tabs>
          <w:tab w:val="left" w:pos="7605"/>
        </w:tabs>
        <w:ind w:left="284"/>
        <w:jc w:val="both"/>
      </w:pPr>
      <w:r>
        <w:tab/>
      </w:r>
    </w:p>
    <w:p w14:paraId="2582EF0A">
      <w:pPr>
        <w:ind w:left="284"/>
        <w:jc w:val="both"/>
      </w:pPr>
      <w:r>
        <w:rPr>
          <w:b/>
        </w:rPr>
        <w:t xml:space="preserve">13.3. DA COMPROVAÇÃO DE LOCALIZAÇÃO E FUNCIONAMENTO: </w:t>
      </w:r>
    </w:p>
    <w:p w14:paraId="2B1918EB">
      <w:pPr>
        <w:ind w:left="284"/>
        <w:jc w:val="both"/>
        <w:rPr>
          <w:b/>
        </w:rPr>
      </w:pPr>
    </w:p>
    <w:p w14:paraId="7CDDB161">
      <w:pPr>
        <w:pStyle w:val="245"/>
        <w:ind w:left="426" w:firstLine="0"/>
        <w:rPr>
          <w:sz w:val="22"/>
          <w:szCs w:val="22"/>
        </w:rPr>
      </w:pPr>
      <w:r>
        <w:rPr>
          <w:b/>
          <w:sz w:val="22"/>
          <w:szCs w:val="22"/>
          <w:lang w:val="pt-BR" w:eastAsia="pt-BR"/>
        </w:rPr>
        <w:t>13.3.1</w:t>
      </w:r>
      <w:r>
        <w:rPr>
          <w:sz w:val="22"/>
          <w:szCs w:val="22"/>
          <w:lang w:val="pt-BR" w:eastAsia="pt-BR"/>
        </w:rPr>
        <w:t>. Alvará de Localização e Funcionamento, apenas para fins de verificação. Sem caráter obrigatório de habilitação.</w:t>
      </w:r>
    </w:p>
    <w:p w14:paraId="5FEAD76A">
      <w:pPr>
        <w:pStyle w:val="245"/>
        <w:ind w:left="426" w:firstLine="0"/>
        <w:rPr>
          <w:sz w:val="22"/>
          <w:szCs w:val="22"/>
          <w:lang w:val="pt-BR" w:eastAsia="pt-BR"/>
        </w:rPr>
      </w:pPr>
    </w:p>
    <w:p w14:paraId="4F56DD0A">
      <w:pPr>
        <w:ind w:left="284"/>
        <w:jc w:val="both"/>
      </w:pPr>
      <w:r>
        <w:rPr>
          <w:b/>
        </w:rPr>
        <w:t xml:space="preserve">13.4. A DOCUMENTAÇÃO RELATIVA À QUALIFICAÇÃO ECOCÔMICA-FINANCEIRA CONSISTE EM: </w:t>
      </w:r>
    </w:p>
    <w:p w14:paraId="526AB92D">
      <w:pPr>
        <w:ind w:left="284"/>
        <w:jc w:val="both"/>
        <w:rPr>
          <w:b/>
        </w:rPr>
      </w:pPr>
    </w:p>
    <w:p w14:paraId="634EC671">
      <w:pPr>
        <w:ind w:left="426"/>
        <w:jc w:val="both"/>
      </w:pPr>
      <w:r>
        <w:rPr>
          <w:b/>
        </w:rPr>
        <w:t xml:space="preserve">13.4.1. </w:t>
      </w:r>
      <w:r>
        <w:t>Certidão negativa de feitos sobre falência expedida pelo distribuidor da sede do licitante, em data não superior a 60 (sessenta) dias da data designada para apresentação do documento, exceto se outro prazo constar do referido documento;</w:t>
      </w:r>
    </w:p>
    <w:p w14:paraId="601FC7BF">
      <w:pPr>
        <w:ind w:left="426"/>
        <w:jc w:val="both"/>
      </w:pPr>
    </w:p>
    <w:p w14:paraId="3E3EDD67">
      <w:pPr>
        <w:ind w:left="426"/>
        <w:jc w:val="both"/>
        <w:rPr>
          <w:color w:val="000000"/>
        </w:rPr>
      </w:pPr>
      <w:r>
        <w:rPr>
          <w:b/>
        </w:rPr>
        <w:t xml:space="preserve">13.4.1.1. </w:t>
      </w:r>
      <w:r>
        <w:rPr>
          <w:color w:val="000000"/>
          <w:lang w:val="pt-PT"/>
        </w:rPr>
        <w:t>Só será permitida a participação de empresas em recuperação judicial e extrajudicial se comprovada, respectivamente, a aprovação ou a homologação do plano de recuperação pelo juízo competente e apresentada certidão emitida pelo juízo da recuperação, que ateste a aptidão econômica e financeira para o certame.</w:t>
      </w:r>
      <w:r>
        <w:rPr>
          <w:color w:val="000000"/>
        </w:rPr>
        <w:t> </w:t>
      </w:r>
    </w:p>
    <w:p w14:paraId="0CC08B4B">
      <w:pPr>
        <w:ind w:left="426"/>
        <w:jc w:val="both"/>
        <w:rPr>
          <w:color w:val="000000"/>
        </w:rPr>
      </w:pPr>
      <w:r>
        <w:rPr>
          <w:color w:val="000000"/>
        </w:rPr>
        <w:t> </w:t>
      </w:r>
    </w:p>
    <w:p w14:paraId="51AC6BAD">
      <w:pPr>
        <w:ind w:left="426"/>
        <w:jc w:val="both"/>
        <w:rPr>
          <w:color w:val="000000"/>
        </w:rPr>
      </w:pPr>
      <w:r>
        <w:rPr>
          <w:b/>
        </w:rPr>
        <w:t xml:space="preserve">13.4.1.2. </w:t>
      </w:r>
      <w:r>
        <w:rPr>
          <w:color w:val="000000"/>
          <w:lang w:val="pt-PT"/>
        </w:rPr>
        <w:t>No caso de certidão positiva de recuperação judicial, o licitante deverá apresentar a comprovação de que o respectivo plano de recuperação foi acolhido judicialmente na forma do art.58, da Lei 11.101/2005, sob pena de inabilitação, devendo, ainda, comprovar todos os demais requisitos de habilitação.</w:t>
      </w:r>
      <w:r>
        <w:rPr>
          <w:color w:val="000000"/>
        </w:rPr>
        <w:t> </w:t>
      </w:r>
    </w:p>
    <w:p w14:paraId="5EABA4DC">
      <w:pPr>
        <w:ind w:left="426"/>
        <w:jc w:val="both"/>
        <w:rPr>
          <w:color w:val="000000"/>
        </w:rPr>
      </w:pPr>
    </w:p>
    <w:p w14:paraId="79E08407">
      <w:pPr>
        <w:ind w:left="426"/>
        <w:jc w:val="both"/>
        <w:rPr>
          <w:color w:val="000000"/>
        </w:rPr>
      </w:pPr>
      <w:r>
        <w:rPr>
          <w:b/>
        </w:rPr>
        <w:t xml:space="preserve">13.4.2. </w:t>
      </w:r>
      <w:r>
        <w:rPr>
          <w:color w:val="000000"/>
        </w:rPr>
        <w:t xml:space="preserve">Com a finalidade de evitar duplicidade de informações, toda a documentação relativa à qualificação econômico-financeira exigida ficará devidamente detalhada no </w:t>
      </w:r>
      <w:r>
        <w:rPr>
          <w:b/>
          <w:color w:val="000000"/>
        </w:rPr>
        <w:t>Termo de Referência, que integra o presente edital como anexo</w:t>
      </w:r>
      <w:r>
        <w:rPr>
          <w:color w:val="000000"/>
        </w:rPr>
        <w:t>, contemplando de forma clara e objetiva todas as informações, requisitos e exigências necessários ao atendimento das condições de habilitação.</w:t>
      </w:r>
    </w:p>
    <w:p w14:paraId="74C185F4">
      <w:pPr>
        <w:ind w:left="426"/>
        <w:jc w:val="both"/>
      </w:pPr>
      <w:r>
        <w:rPr>
          <w:color w:val="000000"/>
        </w:rPr>
        <w:t> </w:t>
      </w:r>
    </w:p>
    <w:p w14:paraId="3F3CE211">
      <w:pPr>
        <w:ind w:left="284"/>
        <w:jc w:val="both"/>
      </w:pPr>
      <w:r>
        <w:rPr>
          <w:b/>
        </w:rPr>
        <w:t>13.5. A DOCUMENTAÇÃO RELATIVA À REGULARIDADE FISCAL E TRABALHISTA CONSISTE EM:</w:t>
      </w:r>
    </w:p>
    <w:p w14:paraId="1DB98CE8">
      <w:pPr>
        <w:pStyle w:val="246"/>
        <w:ind w:left="284"/>
        <w:rPr>
          <w:rFonts w:ascii="Arial" w:hAnsi="Arial" w:cs="Arial"/>
          <w:b/>
          <w:sz w:val="22"/>
          <w:szCs w:val="22"/>
        </w:rPr>
      </w:pPr>
    </w:p>
    <w:p w14:paraId="725F54E1">
      <w:pPr>
        <w:pStyle w:val="245"/>
        <w:ind w:left="426" w:firstLine="0"/>
        <w:rPr>
          <w:sz w:val="22"/>
          <w:szCs w:val="22"/>
        </w:rPr>
      </w:pPr>
      <w:r>
        <w:rPr>
          <w:b/>
          <w:sz w:val="22"/>
          <w:szCs w:val="22"/>
          <w:lang w:val="pt-BR" w:eastAsia="pt-BR"/>
        </w:rPr>
        <w:t>13.5.1</w:t>
      </w:r>
      <w:r>
        <w:rPr>
          <w:sz w:val="22"/>
          <w:szCs w:val="22"/>
          <w:lang w:val="pt-BR" w:eastAsia="pt-BR"/>
        </w:rPr>
        <w:t>. Prova de inscrição no Cadastro Nacional de Pessoas Jurídicas (CNPJ);</w:t>
      </w:r>
    </w:p>
    <w:p w14:paraId="4E482935">
      <w:pPr>
        <w:ind w:left="284"/>
        <w:jc w:val="both"/>
      </w:pPr>
    </w:p>
    <w:p w14:paraId="4161BEA1">
      <w:pPr>
        <w:pStyle w:val="245"/>
        <w:ind w:left="426" w:firstLine="0"/>
        <w:rPr>
          <w:sz w:val="22"/>
          <w:szCs w:val="22"/>
        </w:rPr>
      </w:pPr>
      <w:r>
        <w:rPr>
          <w:b/>
          <w:sz w:val="22"/>
          <w:szCs w:val="22"/>
          <w:lang w:val="pt-BR" w:eastAsia="pt-BR"/>
        </w:rPr>
        <w:t>13.5.2.</w:t>
      </w:r>
      <w:r>
        <w:rPr>
          <w:sz w:val="22"/>
          <w:szCs w:val="22"/>
          <w:lang w:val="pt-BR" w:eastAsia="pt-BR"/>
        </w:rPr>
        <w:t xml:space="preserve"> Prova de Inscrição no Cadastro de Contribuinte Estadual, relativo à sede da licitante, pertinente ao seu ramo de atividade e compatível com o objeto do certame.</w:t>
      </w:r>
    </w:p>
    <w:p w14:paraId="5DDB014D">
      <w:pPr>
        <w:ind w:left="284"/>
        <w:jc w:val="both"/>
      </w:pPr>
    </w:p>
    <w:p w14:paraId="35CDC682">
      <w:pPr>
        <w:pStyle w:val="245"/>
        <w:ind w:left="426" w:firstLine="0"/>
        <w:rPr>
          <w:sz w:val="22"/>
          <w:szCs w:val="22"/>
        </w:rPr>
      </w:pPr>
      <w:r>
        <w:rPr>
          <w:b/>
          <w:sz w:val="22"/>
          <w:szCs w:val="22"/>
          <w:lang w:val="pt-BR" w:eastAsia="pt-BR"/>
        </w:rPr>
        <w:t>13.5.3.</w:t>
      </w:r>
      <w:r>
        <w:rPr>
          <w:sz w:val="22"/>
          <w:szCs w:val="22"/>
          <w:lang w:val="pt-BR" w:eastAsia="pt-BR"/>
        </w:rPr>
        <w:t xml:space="preserve"> Certidão Negativa de Débitos expedida conjuntamente pela Secretaria da Receita Federal do Brasil (RFB) e pela Procuradoria-Geral da Fazenda Nacional (PGFN), referente a todos os créditos tributários federais e à Dívida Ativa da União (DAU) por elas administrados, inclusive os créditos tributários relativos às Contribuições Sociais previstas nas alíneas “a”, “b”, e “c” do parágrafo único do art. 11 da Lei nº 8.212, de 24 de julho de 1991, às contribuições instituídas a título de substituição, e às contribuições devidas, por lei, a terceiros;</w:t>
      </w:r>
    </w:p>
    <w:p w14:paraId="32453368">
      <w:pPr>
        <w:ind w:left="284"/>
        <w:jc w:val="both"/>
      </w:pPr>
    </w:p>
    <w:p w14:paraId="23D1EFE1">
      <w:pPr>
        <w:pStyle w:val="245"/>
        <w:ind w:left="426" w:firstLine="0"/>
        <w:rPr>
          <w:sz w:val="22"/>
          <w:szCs w:val="22"/>
        </w:rPr>
      </w:pPr>
      <w:r>
        <w:rPr>
          <w:b/>
          <w:sz w:val="22"/>
          <w:szCs w:val="22"/>
          <w:lang w:val="pt-BR" w:eastAsia="pt-BR"/>
        </w:rPr>
        <w:t>13.5.4.</w:t>
      </w:r>
      <w:r>
        <w:rPr>
          <w:sz w:val="22"/>
          <w:szCs w:val="22"/>
          <w:lang w:val="pt-BR" w:eastAsia="pt-BR"/>
        </w:rPr>
        <w:t xml:space="preserve"> Certidão Negativa de Débitos Fiscal com a Fazenda Estadual, emitida pela Agência Fazendária da Secretaria de estado de fazenda do respectivo domicílio tributário;</w:t>
      </w:r>
    </w:p>
    <w:p w14:paraId="47EC4F13">
      <w:pPr>
        <w:ind w:left="284"/>
        <w:jc w:val="both"/>
      </w:pPr>
    </w:p>
    <w:p w14:paraId="4FA2588E">
      <w:pPr>
        <w:pStyle w:val="245"/>
        <w:ind w:left="426" w:firstLine="0"/>
        <w:rPr>
          <w:sz w:val="22"/>
          <w:szCs w:val="22"/>
        </w:rPr>
      </w:pPr>
      <w:r>
        <w:rPr>
          <w:b/>
          <w:sz w:val="22"/>
          <w:szCs w:val="22"/>
          <w:lang w:val="pt-BR" w:eastAsia="pt-BR"/>
        </w:rPr>
        <w:t>13.5.5.</w:t>
      </w:r>
      <w:r>
        <w:rPr>
          <w:sz w:val="22"/>
          <w:szCs w:val="22"/>
          <w:lang w:val="pt-BR" w:eastAsia="pt-BR"/>
        </w:rPr>
        <w:t xml:space="preserve"> Certidão Negativa de Débitos referentes aos tributos municipais, expedida pela Secretaria Municipal da Fazenda ou Finanças do respectivo domicílio tributário;</w:t>
      </w:r>
    </w:p>
    <w:p w14:paraId="222C1275">
      <w:pPr>
        <w:ind w:left="284"/>
        <w:jc w:val="both"/>
      </w:pPr>
    </w:p>
    <w:p w14:paraId="0FCCE84D">
      <w:pPr>
        <w:pStyle w:val="245"/>
        <w:ind w:left="426" w:firstLine="0"/>
        <w:rPr>
          <w:sz w:val="22"/>
          <w:szCs w:val="22"/>
        </w:rPr>
      </w:pPr>
      <w:r>
        <w:rPr>
          <w:b/>
          <w:sz w:val="22"/>
          <w:szCs w:val="22"/>
          <w:lang w:val="pt-BR" w:eastAsia="pt-BR"/>
        </w:rPr>
        <w:t>13.5.6.</w:t>
      </w:r>
      <w:r>
        <w:rPr>
          <w:sz w:val="22"/>
          <w:szCs w:val="22"/>
          <w:lang w:val="pt-BR" w:eastAsia="pt-BR"/>
        </w:rPr>
        <w:t xml:space="preserve"> Certificado de Regularidade de Situação para com o Fundo de Garantia de Tempo de Serviço (CRF/FGTS), emitida pela Caixa Econômica Federal;</w:t>
      </w:r>
    </w:p>
    <w:p w14:paraId="42F884A0">
      <w:pPr>
        <w:ind w:left="284"/>
        <w:jc w:val="both"/>
        <w:rPr>
          <w:b/>
        </w:rPr>
      </w:pPr>
    </w:p>
    <w:p w14:paraId="5304BFDF">
      <w:pPr>
        <w:pStyle w:val="245"/>
        <w:ind w:left="426" w:firstLine="0"/>
        <w:rPr>
          <w:sz w:val="22"/>
          <w:szCs w:val="22"/>
        </w:rPr>
      </w:pPr>
      <w:r>
        <w:rPr>
          <w:b/>
          <w:sz w:val="22"/>
          <w:szCs w:val="22"/>
          <w:lang w:val="pt-BR" w:eastAsia="pt-BR"/>
        </w:rPr>
        <w:t>13.5.7.</w:t>
      </w:r>
      <w:r>
        <w:rPr>
          <w:sz w:val="22"/>
          <w:szCs w:val="22"/>
          <w:lang w:val="pt-BR" w:eastAsia="pt-BR"/>
        </w:rPr>
        <w:t xml:space="preserve"> Certidão Negativa de Débito Trabalhista (CNDT), perante a Justiça do Trabalho, redação dada pela Lei nº 12.440/2011. (Obtida através do site: </w:t>
      </w:r>
      <w:r>
        <w:fldChar w:fldCharType="begin"/>
      </w:r>
      <w:r>
        <w:instrText xml:space="preserve"> HYPERLINK "http://www.tst.jus.br/" </w:instrText>
      </w:r>
      <w:r>
        <w:fldChar w:fldCharType="separate"/>
      </w:r>
      <w:r>
        <w:rPr>
          <w:rStyle w:val="19"/>
          <w:sz w:val="22"/>
          <w:szCs w:val="22"/>
          <w:lang w:val="pt-BR" w:eastAsia="pt-BR"/>
        </w:rPr>
        <w:t>www.tst.jus.br</w:t>
      </w:r>
      <w:r>
        <w:rPr>
          <w:rStyle w:val="19"/>
          <w:sz w:val="22"/>
          <w:szCs w:val="22"/>
          <w:lang w:val="pt-BR" w:eastAsia="pt-BR"/>
        </w:rPr>
        <w:fldChar w:fldCharType="end"/>
      </w:r>
      <w:r>
        <w:rPr>
          <w:sz w:val="22"/>
          <w:szCs w:val="22"/>
          <w:lang w:val="pt-BR" w:eastAsia="pt-BR"/>
        </w:rPr>
        <w:t>).</w:t>
      </w:r>
    </w:p>
    <w:p w14:paraId="7841AE5E">
      <w:pPr>
        <w:ind w:left="284"/>
        <w:jc w:val="both"/>
        <w:rPr>
          <w:b/>
        </w:rPr>
      </w:pPr>
    </w:p>
    <w:p w14:paraId="0ACB3C9F">
      <w:pPr>
        <w:ind w:left="284"/>
        <w:jc w:val="both"/>
      </w:pPr>
      <w:r>
        <w:rPr>
          <w:b/>
        </w:rPr>
        <w:t>Observação:</w:t>
      </w:r>
      <w:r>
        <w:t xml:space="preserve"> As microempresas, empresas de pequeno porte, </w:t>
      </w:r>
      <w:r>
        <w:rPr>
          <w:color w:val="000000"/>
        </w:rPr>
        <w:t>e as sociedades cooperativas,</w:t>
      </w:r>
      <w:r>
        <w:t xml:space="preserve"> deverão apresentar toda a documentação exigida para efeito de comprovação de regularidade fiscal</w:t>
      </w:r>
      <w:r>
        <w:rPr>
          <w:color w:val="FF0000"/>
        </w:rPr>
        <w:t xml:space="preserve"> </w:t>
      </w:r>
      <w:r>
        <w:t xml:space="preserve">e trabalhista, mesmo que está apresente alguma restrição. </w:t>
      </w:r>
    </w:p>
    <w:p w14:paraId="31E1459A">
      <w:pPr>
        <w:ind w:left="284"/>
        <w:jc w:val="both"/>
      </w:pPr>
    </w:p>
    <w:p w14:paraId="2A37F45F">
      <w:pPr>
        <w:ind w:left="284"/>
        <w:jc w:val="both"/>
      </w:pPr>
      <w:r>
        <w:rPr>
          <w:b/>
        </w:rPr>
        <w:t xml:space="preserve">a) </w:t>
      </w:r>
      <w:r>
        <w:t>Havendo alguma restrição na comprovação da regularidade fiscal e trabalhista, será assegurado o prazo de 5 (cinco) dias úteis, cujo termo inicial corresponderá ao momento em que o proponente for declarado o vencedor do certame, prorrogável por igual período, a critério da administração pública, para a regularização da documentação, pagamento ou parcelamento do débito e emissão de eventuais certidões negativas ou positivas com efeito de certidão negativa. (Art. 43, §1º LC 123/2006).</w:t>
      </w:r>
    </w:p>
    <w:p w14:paraId="3FA6A8AB">
      <w:pPr>
        <w:ind w:left="284"/>
        <w:jc w:val="both"/>
      </w:pPr>
    </w:p>
    <w:p w14:paraId="77A17EE3">
      <w:pPr>
        <w:ind w:left="284"/>
        <w:jc w:val="both"/>
      </w:pPr>
      <w:r>
        <w:rPr>
          <w:b/>
          <w:color w:val="000000"/>
        </w:rPr>
        <w:t>b)</w:t>
      </w:r>
      <w:r>
        <w:rPr>
          <w:color w:val="000000"/>
        </w:rPr>
        <w:t xml:space="preserve"> A prorrogação do prazo prevista na alínea “a”, poderá ser concedida, a critério da administração pública, quando requerida pelo licitante, mediante apresentação de justificativa.</w:t>
      </w:r>
    </w:p>
    <w:p w14:paraId="098DB158">
      <w:pPr>
        <w:ind w:left="284"/>
        <w:jc w:val="both"/>
        <w:rPr>
          <w:color w:val="000000"/>
        </w:rPr>
      </w:pPr>
    </w:p>
    <w:p w14:paraId="1BD93F95">
      <w:pPr>
        <w:pStyle w:val="91"/>
        <w:ind w:left="284"/>
        <w:jc w:val="both"/>
        <w:rPr>
          <w:rFonts w:ascii="Arial" w:hAnsi="Arial" w:cs="Arial"/>
          <w:sz w:val="22"/>
          <w:szCs w:val="22"/>
        </w:rPr>
      </w:pPr>
      <w:r>
        <w:rPr>
          <w:rFonts w:ascii="Arial" w:hAnsi="Arial" w:cs="Arial"/>
          <w:b/>
          <w:sz w:val="22"/>
          <w:szCs w:val="22"/>
        </w:rPr>
        <w:t>c)</w:t>
      </w:r>
      <w:r>
        <w:rPr>
          <w:rFonts w:ascii="Arial" w:hAnsi="Arial" w:cs="Arial"/>
          <w:sz w:val="22"/>
          <w:szCs w:val="22"/>
        </w:rPr>
        <w:t xml:space="preserve"> A não regularização da documentação no prazo previsto na alínea “a”, implicará na decadência do direito à contratação, sem prejuízo das sanções previstas em Lei, sendo facultado à Administração convocar para nova sessão pública os licitantes remanescentes, na ordem de classificação, para contratação, ou revogar a licitação. </w:t>
      </w:r>
    </w:p>
    <w:p w14:paraId="60027EEE">
      <w:pPr>
        <w:pStyle w:val="91"/>
        <w:ind w:left="284"/>
        <w:jc w:val="both"/>
        <w:rPr>
          <w:rFonts w:ascii="Arial" w:hAnsi="Arial" w:cs="Arial"/>
          <w:sz w:val="22"/>
          <w:szCs w:val="22"/>
        </w:rPr>
      </w:pPr>
    </w:p>
    <w:p w14:paraId="6EBD4E4B">
      <w:pPr>
        <w:jc w:val="both"/>
      </w:pPr>
      <w:r>
        <w:rPr>
          <w:b/>
          <w:bCs/>
        </w:rPr>
        <w:t>13.6.</w:t>
      </w:r>
      <w:r>
        <w:t xml:space="preserve"> </w:t>
      </w:r>
      <w:r>
        <w:rPr>
          <w:b/>
          <w:bCs/>
        </w:rPr>
        <w:t>QUALIFICAÇÃO TÉCNICA:</w:t>
      </w:r>
    </w:p>
    <w:p w14:paraId="6F7186DC">
      <w:pPr>
        <w:jc w:val="both"/>
      </w:pPr>
    </w:p>
    <w:p w14:paraId="714F8A40">
      <w:pPr>
        <w:ind w:left="284"/>
        <w:jc w:val="both"/>
        <w:rPr>
          <w:b/>
          <w:bCs/>
          <w:color w:val="000000"/>
        </w:rPr>
      </w:pPr>
      <w:r>
        <w:rPr>
          <w:b/>
          <w:bCs/>
          <w:color w:val="000000"/>
        </w:rPr>
        <w:t>13.6.</w:t>
      </w:r>
      <w:r>
        <w:rPr>
          <w:b/>
          <w:bCs/>
        </w:rPr>
        <w:t>1.</w:t>
      </w:r>
      <w:r>
        <w:t xml:space="preserve"> Com a finalidade de evitar duplicidade de informações, toda a documentação relativa à qualificação técnica exigida ficará devidamente detalhada no </w:t>
      </w:r>
      <w:r>
        <w:rPr>
          <w:b/>
        </w:rPr>
        <w:t>Termo de Referência, que integra o presente edital como anexo</w:t>
      </w:r>
      <w:r>
        <w:t>, contemplando de forma clara e objetiva todas as informações, requisitos e exigências necessários ao atendimento das condições de habilitação.</w:t>
      </w:r>
    </w:p>
    <w:p w14:paraId="13779B7C">
      <w:pPr>
        <w:jc w:val="both"/>
        <w:rPr>
          <w:b/>
          <w:bCs/>
          <w:color w:val="000000"/>
        </w:rPr>
      </w:pPr>
    </w:p>
    <w:p w14:paraId="6E949C9D">
      <w:pPr>
        <w:jc w:val="both"/>
      </w:pPr>
      <w:r>
        <w:rPr>
          <w:b/>
          <w:bCs/>
          <w:color w:val="000000"/>
        </w:rPr>
        <w:t xml:space="preserve"> 13.7 DAS COMPROVAÇÕES COMPLEMENTARES ESPECIAIS:</w:t>
      </w:r>
    </w:p>
    <w:p w14:paraId="5649388E">
      <w:pPr>
        <w:jc w:val="both"/>
        <w:rPr>
          <w:b/>
          <w:bCs/>
          <w:color w:val="000000"/>
        </w:rPr>
      </w:pPr>
    </w:p>
    <w:p w14:paraId="520B93CD">
      <w:pPr>
        <w:ind w:left="284"/>
        <w:jc w:val="both"/>
      </w:pPr>
      <w:r>
        <w:rPr>
          <w:b/>
          <w:color w:val="000000"/>
        </w:rPr>
        <w:t>13.7.1. O LICITANTE DEVERÁ DECLARAR, QUE:</w:t>
      </w:r>
    </w:p>
    <w:p w14:paraId="2131EEC0">
      <w:pPr>
        <w:ind w:left="284"/>
        <w:jc w:val="both"/>
        <w:rPr>
          <w:b/>
          <w:color w:val="000000"/>
          <w:u w:val="single"/>
        </w:rPr>
      </w:pPr>
    </w:p>
    <w:p w14:paraId="13A0F5F9">
      <w:pPr>
        <w:ind w:left="284"/>
        <w:jc w:val="both"/>
      </w:pPr>
      <w:r>
        <w:rPr>
          <w:b/>
          <w:color w:val="000000"/>
        </w:rPr>
        <w:t>13.7.1.1.</w:t>
      </w:r>
      <w:r>
        <w:rPr>
          <w:color w:val="000000"/>
        </w:rPr>
        <w:t xml:space="preserve"> Está ciente e concorda com as condições contidas no edital e seus anexos, bem como de que a proposta apresentada compreende a integralidade dos custos para atendimento dos direitos trabalhistas assegurados na Constituição Federal, nas leis trabalhistas, nas normas infra legais, nas convenções coletivas de trabalho e nos termos de ajustamento de conduta vigentes na data de sua entrega em definitivo e que cumpre plenamente os requisitos de habilitação definidos no instrumento convocatório;</w:t>
      </w:r>
    </w:p>
    <w:p w14:paraId="21090A1B">
      <w:pPr>
        <w:ind w:left="284"/>
        <w:jc w:val="both"/>
        <w:rPr>
          <w:b/>
          <w:color w:val="000000"/>
        </w:rPr>
      </w:pPr>
    </w:p>
    <w:p w14:paraId="72D56D92">
      <w:pPr>
        <w:ind w:left="284"/>
        <w:jc w:val="both"/>
      </w:pPr>
      <w:r>
        <w:rPr>
          <w:b/>
          <w:color w:val="000000"/>
        </w:rPr>
        <w:t>13.7.1.2.</w:t>
      </w:r>
      <w:r>
        <w:rPr>
          <w:color w:val="000000"/>
        </w:rPr>
        <w:t xml:space="preserve"> Não emprega menor de 18 anos em trabalho noturno, perigoso ou insalubre e não emprega menor de 16 anos, em qualquer trabalho, salvo menor, a partir de 14 anos, na condição de aprendiz, nos termos do </w:t>
      </w:r>
      <w:r>
        <w:fldChar w:fldCharType="begin"/>
      </w:r>
      <w:r>
        <w:instrText xml:space="preserve"> HYPERLINK "https://www.planalto.gov.br/ccivil_03/constituicao/constituicaocompilado.htm" \l "art7" </w:instrText>
      </w:r>
      <w:r>
        <w:fldChar w:fldCharType="separate"/>
      </w:r>
      <w:r>
        <w:rPr>
          <w:rStyle w:val="19"/>
          <w:color w:val="000000"/>
        </w:rPr>
        <w:t>artigo 7°, XXXIII da Constituição</w:t>
      </w:r>
      <w:r>
        <w:rPr>
          <w:rStyle w:val="19"/>
          <w:color w:val="000000"/>
        </w:rPr>
        <w:fldChar w:fldCharType="end"/>
      </w:r>
      <w:r>
        <w:rPr>
          <w:color w:val="000000"/>
        </w:rPr>
        <w:t xml:space="preserve"> Federal, </w:t>
      </w:r>
      <w:r>
        <w:t xml:space="preserve">bem como, no </w:t>
      </w:r>
      <w:r>
        <w:rPr>
          <w:color w:val="000000"/>
        </w:rPr>
        <w:t>artigo 68, inciso VI, da Lei nº 14.133/2021;</w:t>
      </w:r>
    </w:p>
    <w:p w14:paraId="00D969FC">
      <w:pPr>
        <w:ind w:left="284"/>
        <w:jc w:val="both"/>
        <w:rPr>
          <w:color w:val="000000"/>
        </w:rPr>
      </w:pPr>
    </w:p>
    <w:p w14:paraId="2FC3AA69">
      <w:pPr>
        <w:ind w:left="284"/>
        <w:jc w:val="both"/>
      </w:pPr>
      <w:r>
        <w:rPr>
          <w:b/>
          <w:color w:val="000000"/>
        </w:rPr>
        <w:t>13.7.1.3.</w:t>
      </w:r>
      <w:r>
        <w:rPr>
          <w:color w:val="000000"/>
        </w:rPr>
        <w:t xml:space="preserve"> Não possui empregados executando trabalho degradante ou forçado, observando o disposto nos </w:t>
      </w:r>
      <w:r>
        <w:fldChar w:fldCharType="begin"/>
      </w:r>
      <w:r>
        <w:instrText xml:space="preserve"> HYPERLINK "https://www.planalto.gov.br/ccivil_03/constituicao/constituicaocompilado.htm" </w:instrText>
      </w:r>
      <w:r>
        <w:fldChar w:fldCharType="separate"/>
      </w:r>
      <w:r>
        <w:rPr>
          <w:rStyle w:val="19"/>
          <w:color w:val="000000"/>
        </w:rPr>
        <w:t>incisos III e IV do art. 1º e no inciso III do art. 5º da Constituição Federal</w:t>
      </w:r>
      <w:r>
        <w:rPr>
          <w:rStyle w:val="19"/>
          <w:color w:val="000000"/>
        </w:rPr>
        <w:fldChar w:fldCharType="end"/>
      </w:r>
      <w:r>
        <w:rPr>
          <w:rStyle w:val="19"/>
          <w:color w:val="000000"/>
        </w:rPr>
        <w:t xml:space="preserve">, </w:t>
      </w:r>
      <w:r>
        <w:t>bem como no art. 14, inciso VI da Lei nº 14.133/2021.</w:t>
      </w:r>
    </w:p>
    <w:p w14:paraId="006D4B07">
      <w:pPr>
        <w:ind w:left="284"/>
        <w:jc w:val="both"/>
        <w:rPr>
          <w:color w:val="000000"/>
        </w:rPr>
      </w:pPr>
    </w:p>
    <w:p w14:paraId="7BE3F217">
      <w:pPr>
        <w:ind w:left="284"/>
        <w:jc w:val="both"/>
        <w:rPr>
          <w:color w:val="000000"/>
        </w:rPr>
      </w:pPr>
      <w:r>
        <w:rPr>
          <w:b/>
          <w:color w:val="000000"/>
        </w:rPr>
        <w:t>13.7.1.4.</w:t>
      </w:r>
      <w:r>
        <w:rPr>
          <w:color w:val="000000"/>
        </w:rPr>
        <w:t xml:space="preserve"> Cumpre as exigências de reserva de cargos para pessoa com deficiência e para reabilitado da Previdência Social, previstas em lei e em outras normas específicas;</w:t>
      </w:r>
    </w:p>
    <w:p w14:paraId="0D800882">
      <w:pPr>
        <w:ind w:left="284"/>
        <w:jc w:val="both"/>
      </w:pPr>
    </w:p>
    <w:p w14:paraId="7E672A3C">
      <w:pPr>
        <w:ind w:left="284"/>
        <w:jc w:val="both"/>
      </w:pPr>
      <w:r>
        <w:rPr>
          <w:b/>
          <w:color w:val="000000"/>
        </w:rPr>
        <w:t>13.7.1.5.</w:t>
      </w:r>
      <w:r>
        <w:rPr>
          <w:color w:val="000000"/>
        </w:rPr>
        <w:t xml:space="preserve"> N</w:t>
      </w:r>
      <w:r>
        <w:t xml:space="preserve">ão possui em seu quadro de pessoal e societário, servidor público do Poder Executivo Estadual exercendo funções de gerência ou administração, conforme art. 1, inciso X da Lei Complementar Estadual nº 04/1990, ou servidor do Órgão/Entidade contratante em qualquer função, nos termos do art. 9º, §1º da Lei Federal nº 14.133/2021; </w:t>
      </w:r>
    </w:p>
    <w:p w14:paraId="56CC2FD0">
      <w:pPr>
        <w:ind w:left="284"/>
        <w:jc w:val="both"/>
        <w:rPr>
          <w:color w:val="000000"/>
        </w:rPr>
      </w:pPr>
    </w:p>
    <w:p w14:paraId="72532DAE">
      <w:pPr>
        <w:ind w:left="284"/>
        <w:jc w:val="both"/>
        <w:rPr>
          <w:b/>
          <w:color w:val="000000"/>
        </w:rPr>
      </w:pPr>
      <w:r>
        <w:rPr>
          <w:b/>
        </w:rPr>
        <w:t>13.7.1.6.</w:t>
      </w:r>
      <w:r>
        <w:t xml:space="preserve"> O licitante enquadrado como microempresa, empresa de pequeno porte ou sociedade cooperativa deverá</w:t>
      </w:r>
      <w:r>
        <w:rPr>
          <w:color w:val="000000"/>
        </w:rPr>
        <w:t xml:space="preserve"> declarar, que cumpre os requisitos estabelecidos no </w:t>
      </w:r>
      <w:r>
        <w:fldChar w:fldCharType="begin"/>
      </w:r>
      <w:r>
        <w:instrText xml:space="preserve"> HYPERLINK "https://www.planalto.gov.br/ccivil_03/leis/lcp/lcp123.htm" \l "art3" </w:instrText>
      </w:r>
      <w:r>
        <w:fldChar w:fldCharType="separate"/>
      </w:r>
      <w:r>
        <w:rPr>
          <w:rStyle w:val="19"/>
          <w:color w:val="000000"/>
        </w:rPr>
        <w:t>artigo 3° da Lei Complementar nº 123, de 2006</w:t>
      </w:r>
      <w:r>
        <w:rPr>
          <w:rStyle w:val="19"/>
          <w:color w:val="000000"/>
        </w:rPr>
        <w:fldChar w:fldCharType="end"/>
      </w:r>
      <w:r>
        <w:rPr>
          <w:color w:val="000000"/>
        </w:rPr>
        <w:t xml:space="preserve">, estando apto a usufruir do tratamento favorecido estabelecido em seus </w:t>
      </w:r>
      <w:r>
        <w:fldChar w:fldCharType="begin"/>
      </w:r>
      <w:r>
        <w:instrText xml:space="preserve"> HYPERLINK "https://www.planalto.gov.br/ccivil_03/leis/lcp/lcp123.htm" \l "art42" </w:instrText>
      </w:r>
      <w:r>
        <w:fldChar w:fldCharType="separate"/>
      </w:r>
      <w:r>
        <w:rPr>
          <w:rStyle w:val="19"/>
          <w:color w:val="000000"/>
        </w:rPr>
        <w:t>arts. 42 a 49</w:t>
      </w:r>
      <w:r>
        <w:rPr>
          <w:rStyle w:val="19"/>
          <w:color w:val="000000"/>
        </w:rPr>
        <w:fldChar w:fldCharType="end"/>
      </w:r>
      <w:r>
        <w:rPr>
          <w:color w:val="000000"/>
        </w:rPr>
        <w:t xml:space="preserve">, observado o disposto nos </w:t>
      </w:r>
      <w:r>
        <w:fldChar w:fldCharType="begin"/>
      </w:r>
      <w:r>
        <w:instrText xml:space="preserve"> HYPERLINK "http://www.planalto.gov.br/ccivil_03/_ato2019-2022/2021/lei/L14133.htm" \l "art4§1" </w:instrText>
      </w:r>
      <w:r>
        <w:fldChar w:fldCharType="separate"/>
      </w:r>
      <w:r>
        <w:rPr>
          <w:rStyle w:val="19"/>
          <w:color w:val="000000"/>
        </w:rPr>
        <w:t>§§ 1º ao 3º do art. 4º, da Lei n.º 14.133, de 2021;</w:t>
      </w:r>
      <w:r>
        <w:rPr>
          <w:rStyle w:val="19"/>
          <w:color w:val="000000"/>
        </w:rPr>
        <w:fldChar w:fldCharType="end"/>
      </w:r>
    </w:p>
    <w:p w14:paraId="7C0C545C">
      <w:pPr>
        <w:ind w:left="284"/>
        <w:jc w:val="both"/>
        <w:rPr>
          <w:b/>
          <w:color w:val="000000"/>
        </w:rPr>
      </w:pPr>
    </w:p>
    <w:p w14:paraId="000D39D9">
      <w:pPr>
        <w:ind w:left="284"/>
        <w:jc w:val="both"/>
      </w:pPr>
      <w:r>
        <w:rPr>
          <w:b/>
          <w:color w:val="000000"/>
        </w:rPr>
        <w:t>13.7.1.7.</w:t>
      </w:r>
      <w:r>
        <w:rPr>
          <w:color w:val="000000"/>
        </w:rPr>
        <w:t xml:space="preserve"> O licitante organizado em cooperativa deverá declarar, ainda que, cumpre os requisitos estabelecidos no </w:t>
      </w:r>
      <w:r>
        <w:fldChar w:fldCharType="begin"/>
      </w:r>
      <w:r>
        <w:instrText xml:space="preserve"> HYPERLINK "http://www.planalto.gov.br/ccivil_03/_ato2019-2022/2021/lei/L14133.htm" \l "art16" </w:instrText>
      </w:r>
      <w:r>
        <w:fldChar w:fldCharType="separate"/>
      </w:r>
      <w:r>
        <w:rPr>
          <w:rStyle w:val="19"/>
          <w:color w:val="000000"/>
        </w:rPr>
        <w:t>artigo 16 da Lei nº 14.133, de 2021</w:t>
      </w:r>
      <w:r>
        <w:rPr>
          <w:rStyle w:val="19"/>
          <w:color w:val="000000"/>
        </w:rPr>
        <w:fldChar w:fldCharType="end"/>
      </w:r>
      <w:r>
        <w:rPr>
          <w:color w:val="000000"/>
        </w:rPr>
        <w:t>;</w:t>
      </w:r>
    </w:p>
    <w:p w14:paraId="1670E704">
      <w:pPr>
        <w:ind w:left="284"/>
        <w:jc w:val="both"/>
        <w:rPr>
          <w:color w:val="000000"/>
        </w:rPr>
      </w:pPr>
    </w:p>
    <w:p w14:paraId="045B4C3D">
      <w:pPr>
        <w:ind w:left="284"/>
        <w:jc w:val="both"/>
      </w:pPr>
      <w:r>
        <w:rPr>
          <w:b/>
          <w:color w:val="000000"/>
        </w:rPr>
        <w:t xml:space="preserve">13.7.1.8. </w:t>
      </w:r>
      <w:r>
        <w:rPr>
          <w:color w:val="000000"/>
        </w:rPr>
        <w:t>Que não há sanções vigentes que legalmente proíbam a participante de licitar e/ou contratar com o Órgão/Entidade contratante;</w:t>
      </w:r>
    </w:p>
    <w:p w14:paraId="3D8881BE">
      <w:pPr>
        <w:ind w:left="284"/>
        <w:jc w:val="both"/>
        <w:rPr>
          <w:color w:val="000000"/>
        </w:rPr>
      </w:pPr>
    </w:p>
    <w:p w14:paraId="38E6258B">
      <w:pPr>
        <w:ind w:left="284"/>
        <w:jc w:val="both"/>
      </w:pPr>
      <w:r>
        <w:rPr>
          <w:b/>
          <w:color w:val="000000"/>
        </w:rPr>
        <w:t>13.7.1.9.</w:t>
      </w:r>
      <w:r>
        <w:rPr>
          <w:color w:val="000000"/>
        </w:rPr>
        <w:t xml:space="preserve"> O declarante </w:t>
      </w:r>
      <w:r>
        <w:t>responderá</w:t>
      </w:r>
      <w:r>
        <w:rPr>
          <w:color w:val="000000"/>
        </w:rPr>
        <w:t xml:space="preserve"> pela </w:t>
      </w:r>
      <w:r>
        <w:t>veracidade</w:t>
      </w:r>
      <w:r>
        <w:rPr>
          <w:color w:val="000000"/>
        </w:rPr>
        <w:t xml:space="preserve"> das informações prestadas, sujeitando-se às sanções previstas na forma da lei, e neste Edital.</w:t>
      </w:r>
    </w:p>
    <w:p w14:paraId="703B0CC0">
      <w:pPr>
        <w:ind w:left="284"/>
        <w:jc w:val="both"/>
        <w:rPr>
          <w:color w:val="000000"/>
        </w:rPr>
      </w:pPr>
    </w:p>
    <w:p w14:paraId="246517FD">
      <w:pPr>
        <w:ind w:left="851"/>
        <w:jc w:val="both"/>
        <w:rPr>
          <w:b/>
          <w:color w:val="000000"/>
        </w:rPr>
      </w:pPr>
      <w:r>
        <w:rPr>
          <w:b/>
          <w:color w:val="000000"/>
        </w:rPr>
        <w:t xml:space="preserve">NOTA: </w:t>
      </w:r>
      <w:r>
        <w:t>AS COMPROVAÇÕES</w:t>
      </w:r>
      <w:r>
        <w:rPr>
          <w:b/>
          <w:color w:val="000000"/>
          <w:u w:val="single"/>
        </w:rPr>
        <w:t xml:space="preserve"> CONTIDAS NO ITEM 13.7. A CRITÉRIO DO LICITANTE PODERÃO SEREM APRESENTADAS EM UMA ÚNICA FOLHA, CONFORME MODELO SUGERIDO NO ANEXO V</w:t>
      </w:r>
      <w:r>
        <w:rPr>
          <w:b/>
          <w:color w:val="000000"/>
        </w:rPr>
        <w:t>.</w:t>
      </w:r>
    </w:p>
    <w:p w14:paraId="5426488B">
      <w:pPr>
        <w:ind w:left="851"/>
        <w:jc w:val="both"/>
      </w:pPr>
    </w:p>
    <w:p w14:paraId="61CA15BC">
      <w:pPr>
        <w:jc w:val="both"/>
      </w:pPr>
      <w:r>
        <w:rPr>
          <w:b/>
        </w:rPr>
        <w:t>13.8. DA REALIZAÇÃO DE CONSULTA EM NOME DA LICITANTE E TAMBÉM DE EVENTUAL MATRIZ OU FILIAL E DE SEUS SÓCIOS JUNTO AO:</w:t>
      </w:r>
    </w:p>
    <w:p w14:paraId="20B0AE2E">
      <w:pPr>
        <w:ind w:left="426"/>
        <w:jc w:val="both"/>
        <w:rPr>
          <w:b/>
        </w:rPr>
      </w:pPr>
    </w:p>
    <w:p w14:paraId="3516EF3B">
      <w:pPr>
        <w:ind w:left="426"/>
        <w:jc w:val="both"/>
      </w:pPr>
      <w:r>
        <w:rPr>
          <w:b/>
        </w:rPr>
        <w:t>13.8.1.</w:t>
      </w:r>
      <w:r>
        <w:t xml:space="preserve"> </w:t>
      </w:r>
      <w:r>
        <w:rPr>
          <w:color w:val="000000"/>
        </w:rPr>
        <w:t xml:space="preserve">Cadastro Nacional de Condenações Cíveis por Atos de Improbidade Administrativa, mantido pelo Conselho Nacional de Justiça – CNJ, no endereço eletrônico </w:t>
      </w:r>
      <w:r>
        <w:fldChar w:fldCharType="begin"/>
      </w:r>
      <w:r>
        <w:instrText xml:space="preserve"> HYPERLINK "http://www.cnj.jus.br/improbidade_adm/consultar_requerido.php" </w:instrText>
      </w:r>
      <w:r>
        <w:fldChar w:fldCharType="separate"/>
      </w:r>
      <w:r>
        <w:rPr>
          <w:rStyle w:val="19"/>
          <w:color w:val="000000"/>
        </w:rPr>
        <w:t>www.cnj.jus.br/improbidade_adm/consultar_requerido.php</w:t>
      </w:r>
      <w:r>
        <w:rPr>
          <w:rStyle w:val="19"/>
          <w:color w:val="000000"/>
        </w:rPr>
        <w:fldChar w:fldCharType="end"/>
      </w:r>
      <w:r>
        <w:t>;</w:t>
      </w:r>
    </w:p>
    <w:p w14:paraId="4BE48014">
      <w:pPr>
        <w:ind w:left="426"/>
        <w:jc w:val="both"/>
      </w:pPr>
    </w:p>
    <w:p w14:paraId="18124A59">
      <w:pPr>
        <w:ind w:left="426"/>
        <w:jc w:val="both"/>
      </w:pPr>
      <w:r>
        <w:rPr>
          <w:b/>
        </w:rPr>
        <w:t>13.8.2.</w:t>
      </w:r>
      <w:r>
        <w:t xml:space="preserve"> Cadastro Nacional das Empresas Inidôneas e Suspensas – CEIS, no endereço eletrônico </w:t>
      </w:r>
      <w:r>
        <w:fldChar w:fldCharType="begin"/>
      </w:r>
      <w:r>
        <w:instrText xml:space="preserve"> HYPERLINK "http://www.portaldatransparencia.gov.br/ceis" </w:instrText>
      </w:r>
      <w:r>
        <w:fldChar w:fldCharType="separate"/>
      </w:r>
      <w:r>
        <w:rPr>
          <w:rStyle w:val="19"/>
          <w:color w:val="000000"/>
        </w:rPr>
        <w:t>www.portaldatransparencia.gov.br/ceis</w:t>
      </w:r>
      <w:r>
        <w:rPr>
          <w:rStyle w:val="19"/>
          <w:color w:val="000000"/>
        </w:rPr>
        <w:fldChar w:fldCharType="end"/>
      </w:r>
      <w:r>
        <w:t>.</w:t>
      </w:r>
    </w:p>
    <w:p w14:paraId="10BAEBF6">
      <w:pPr>
        <w:ind w:left="426"/>
        <w:jc w:val="both"/>
      </w:pPr>
    </w:p>
    <w:p w14:paraId="6DFAF59C">
      <w:pPr>
        <w:ind w:left="426"/>
        <w:jc w:val="both"/>
      </w:pPr>
      <w:r>
        <w:rPr>
          <w:b/>
        </w:rPr>
        <w:t xml:space="preserve">13.8.3. </w:t>
      </w:r>
      <w:r>
        <w:t xml:space="preserve">No caso dos licitantes Pessoa Jurídica as consultas acima poderão ser substituídas pela Consulta Consolidada de Pessoa Jurídica do TCU, no endereço eletrônico </w:t>
      </w:r>
      <w:r>
        <w:fldChar w:fldCharType="begin"/>
      </w:r>
      <w:r>
        <w:instrText xml:space="preserve"> HYPERLINK "https://certidoes-apf.apps.tcu.gov.br/" </w:instrText>
      </w:r>
      <w:r>
        <w:fldChar w:fldCharType="separate"/>
      </w:r>
      <w:r>
        <w:rPr>
          <w:rStyle w:val="19"/>
          <w:color w:val="000000"/>
        </w:rPr>
        <w:t>https://certidoes-apf.apps.tcu.gov.br</w:t>
      </w:r>
      <w:r>
        <w:rPr>
          <w:rStyle w:val="19"/>
          <w:color w:val="000000"/>
        </w:rPr>
        <w:fldChar w:fldCharType="end"/>
      </w:r>
      <w:r>
        <w:t>.</w:t>
      </w:r>
    </w:p>
    <w:p w14:paraId="4FAD592F">
      <w:pPr>
        <w:ind w:left="426"/>
        <w:jc w:val="both"/>
      </w:pPr>
    </w:p>
    <w:p w14:paraId="48432F20">
      <w:pPr>
        <w:ind w:left="426"/>
        <w:jc w:val="both"/>
      </w:pPr>
      <w:r>
        <w:rPr>
          <w:b/>
        </w:rPr>
        <w:t xml:space="preserve">13.8.4. </w:t>
      </w:r>
      <w:r>
        <w:t xml:space="preserve">Cadastro de Empresas Inidôneas e de Pessoas Suspensas de contratar com a Administração Pública do TCE/MT, no endereço eletrônico </w:t>
      </w:r>
      <w:r>
        <w:fldChar w:fldCharType="begin"/>
      </w:r>
      <w:r>
        <w:instrText xml:space="preserve"> HYPERLINK "https://jurisdicionado.tce.mt.gov.br/conteudo/index/sid/477" </w:instrText>
      </w:r>
      <w:r>
        <w:fldChar w:fldCharType="separate"/>
      </w:r>
      <w:r>
        <w:rPr>
          <w:rStyle w:val="19"/>
          <w:color w:val="000000"/>
        </w:rPr>
        <w:t>https://jurisdicionado.tce.mt.gov.br/conteudo/index/sid/477</w:t>
      </w:r>
      <w:r>
        <w:rPr>
          <w:rStyle w:val="19"/>
          <w:color w:val="000000"/>
        </w:rPr>
        <w:fldChar w:fldCharType="end"/>
      </w:r>
      <w:r>
        <w:t>.</w:t>
      </w:r>
    </w:p>
    <w:p w14:paraId="5473AA4D">
      <w:pPr>
        <w:ind w:left="284"/>
        <w:jc w:val="both"/>
        <w:rPr>
          <w:b/>
        </w:rPr>
      </w:pPr>
    </w:p>
    <w:p w14:paraId="74593758">
      <w:pPr>
        <w:jc w:val="both"/>
      </w:pPr>
      <w:r>
        <w:rPr>
          <w:b/>
        </w:rPr>
        <w:t>13.9. Sob pena de inabilitação, todos os documentos apresentados para habilitação deverão estar em nome da licitante, e, preferencialmente</w:t>
      </w:r>
      <w:r>
        <w:t xml:space="preserve">, com número do CNPJ e com o endereço respectivo: </w:t>
      </w:r>
    </w:p>
    <w:p w14:paraId="1DAD0FF9">
      <w:pPr>
        <w:ind w:left="284"/>
        <w:jc w:val="both"/>
        <w:rPr>
          <w:b/>
        </w:rPr>
      </w:pPr>
    </w:p>
    <w:p w14:paraId="134A979B">
      <w:pPr>
        <w:ind w:left="426"/>
        <w:jc w:val="both"/>
      </w:pPr>
      <w:r>
        <w:rPr>
          <w:b/>
        </w:rPr>
        <w:t>13.9.1.</w:t>
      </w:r>
      <w:r>
        <w:t xml:space="preserve"> Se a licitante for a matriz, todos os documentos deverão estar em nome da matriz; </w:t>
      </w:r>
    </w:p>
    <w:p w14:paraId="2FA6C81C">
      <w:pPr>
        <w:ind w:left="284"/>
        <w:jc w:val="both"/>
        <w:rPr>
          <w:b/>
        </w:rPr>
      </w:pPr>
    </w:p>
    <w:p w14:paraId="2C57B9DB">
      <w:pPr>
        <w:ind w:left="426"/>
        <w:jc w:val="both"/>
      </w:pPr>
      <w:r>
        <w:rPr>
          <w:b/>
        </w:rPr>
        <w:t>13.9.2.</w:t>
      </w:r>
      <w:r>
        <w:t xml:space="preserve"> Se a licitante for a filial, todos os documentos deverão estar em nome da filial, exceto aqueles </w:t>
      </w:r>
      <w:r>
        <w:rPr>
          <w:b/>
        </w:rPr>
        <w:t>documentos</w:t>
      </w:r>
      <w:r>
        <w:t xml:space="preserve"> que, pela própria natureza, comprovadamente, forem emitidos somente em nome da matriz; </w:t>
      </w:r>
    </w:p>
    <w:p w14:paraId="3C81DEAD">
      <w:pPr>
        <w:ind w:left="284"/>
        <w:jc w:val="both"/>
        <w:rPr>
          <w:b/>
        </w:rPr>
      </w:pPr>
    </w:p>
    <w:p w14:paraId="5D485DB3">
      <w:pPr>
        <w:jc w:val="both"/>
      </w:pPr>
      <w:r>
        <w:rPr>
          <w:b/>
        </w:rPr>
        <w:t>13.10.</w:t>
      </w:r>
      <w:r>
        <w:t xml:space="preserve"> Os documentos apresentados para habilitação sem disposição expressa do órgão expedidor quanto a sua validade, terão o </w:t>
      </w:r>
      <w:r>
        <w:rPr>
          <w:b/>
        </w:rPr>
        <w:t>prazo de vencimento de 60 (sessenta) dias</w:t>
      </w:r>
      <w:r>
        <w:t xml:space="preserve"> contados a partir de sua data de emissão a data da sessão pública;</w:t>
      </w:r>
    </w:p>
    <w:p w14:paraId="3C3F877A">
      <w:pPr>
        <w:ind w:left="284"/>
        <w:jc w:val="both"/>
        <w:rPr>
          <w:b/>
        </w:rPr>
      </w:pPr>
    </w:p>
    <w:p w14:paraId="6C3D18ED">
      <w:pPr>
        <w:jc w:val="both"/>
      </w:pPr>
      <w:r>
        <w:rPr>
          <w:b/>
        </w:rPr>
        <w:t>13.11.</w:t>
      </w:r>
      <w:r>
        <w:t xml:space="preserve"> Poderá ser declarado qualquer fato formal, desde que não implique desobediência à legislação e for evidente a vantagem para a Administração, devendo também, se necessário, promover diligência para dirimir a dúvida, cabendo, inclusive, estabelecer um prazo máximo de 02 (dois) dias úteis para a solução;</w:t>
      </w:r>
    </w:p>
    <w:p w14:paraId="7EF2327B">
      <w:pPr>
        <w:ind w:left="284"/>
        <w:jc w:val="both"/>
        <w:rPr>
          <w:b/>
        </w:rPr>
      </w:pPr>
    </w:p>
    <w:p w14:paraId="2C879896">
      <w:pPr>
        <w:jc w:val="both"/>
      </w:pPr>
      <w:r>
        <w:rPr>
          <w:b/>
        </w:rPr>
        <w:t>13.12.</w:t>
      </w:r>
      <w:r>
        <w:t xml:space="preserve"> A verificação pelo pregoeiro, em sítios eletrônicos oficiais de órgãos e entidades emissores de certidões constitui meio legal de prova, para fins de habilitação;</w:t>
      </w:r>
    </w:p>
    <w:p w14:paraId="2F71666A">
      <w:pPr>
        <w:jc w:val="both"/>
      </w:pPr>
      <w:r>
        <w:rPr>
          <w:b/>
        </w:rPr>
        <w:t>13.13.</w:t>
      </w:r>
      <w:r>
        <w:t xml:space="preserve"> Constatando, por meio de diligência, o não atendimento ao estabelecido, o Pregoeiro considerará a proponente inabilitada e prosseguirá a sessão; </w:t>
      </w:r>
    </w:p>
    <w:p w14:paraId="2C72B91D">
      <w:pPr>
        <w:ind w:left="284"/>
        <w:jc w:val="both"/>
        <w:rPr>
          <w:b/>
        </w:rPr>
      </w:pPr>
    </w:p>
    <w:p w14:paraId="483467C0">
      <w:pPr>
        <w:jc w:val="both"/>
      </w:pPr>
      <w:r>
        <w:rPr>
          <w:b/>
        </w:rPr>
        <w:t>13.14.</w:t>
      </w:r>
      <w:r>
        <w:t xml:space="preserve"> Os atos e os documentos para habilitação, constantes dos arquivos e registros digitais, serão válidos para todos os efeitos legais, inclusive para comprovação e prestação de contas. (Conf. Decreto 10.024 /2019, Art. 8º, § 1º);</w:t>
      </w:r>
    </w:p>
    <w:p w14:paraId="1D7CFEE7">
      <w:pPr>
        <w:ind w:left="284"/>
        <w:jc w:val="both"/>
        <w:rPr>
          <w:b/>
        </w:rPr>
      </w:pPr>
    </w:p>
    <w:p w14:paraId="5F4BA8B3">
      <w:pPr>
        <w:jc w:val="both"/>
      </w:pPr>
      <w:r>
        <w:rPr>
          <w:b/>
        </w:rPr>
        <w:t>13.15.</w:t>
      </w:r>
      <w:r>
        <w:t xml:space="preserve"> Somente haverá a necessidade de comprovação do preenchimento de requisitos mediante apresentação dos documentos originais não-digitais quando houver dúvida em relação à integridade do documento digital ou quando a lei expressamente o exigir. (</w:t>
      </w:r>
      <w:r>
        <w:fldChar w:fldCharType="begin"/>
      </w:r>
      <w:r>
        <w:instrText xml:space="preserve"> HYPERLINK "https://www.gov.br/compras/pt-br/acesso-a-informacao/legislacao/instrucoes-normativas/instrucao-normativa-no-3-de-26-de-abril-de-2018" \l "art4" </w:instrText>
      </w:r>
      <w:r>
        <w:fldChar w:fldCharType="separate"/>
      </w:r>
      <w:r>
        <w:rPr>
          <w:rStyle w:val="19"/>
        </w:rPr>
        <w:t>IN nº 3/2018, art. 4º, §1º, e art. 6º, §4º</w:t>
      </w:r>
      <w:r>
        <w:rPr>
          <w:rStyle w:val="19"/>
        </w:rPr>
        <w:fldChar w:fldCharType="end"/>
      </w:r>
      <w:r>
        <w:t>);</w:t>
      </w:r>
    </w:p>
    <w:p w14:paraId="7493D17C">
      <w:pPr>
        <w:ind w:left="284"/>
        <w:jc w:val="both"/>
      </w:pPr>
    </w:p>
    <w:p w14:paraId="65D888EA">
      <w:pPr>
        <w:jc w:val="both"/>
      </w:pPr>
      <w:r>
        <w:rPr>
          <w:b/>
        </w:rPr>
        <w:t>13.16.</w:t>
      </w:r>
      <w:r>
        <w:t xml:space="preserve"> O Pregoeiro reserva-se o direito de solicitar o original de qualquer documento, sempre que tiver dúvida e julgar necessário.</w:t>
      </w:r>
    </w:p>
    <w:p w14:paraId="3F09776A">
      <w:pPr>
        <w:ind w:left="284"/>
        <w:jc w:val="both"/>
      </w:pPr>
    </w:p>
    <w:p w14:paraId="6936E164">
      <w:pPr>
        <w:pStyle w:val="2"/>
        <w:autoSpaceDE w:val="0"/>
        <w:spacing w:before="0" w:after="0"/>
        <w:jc w:val="both"/>
        <w:rPr>
          <w:rFonts w:ascii="Arial" w:hAnsi="Arial" w:cs="Arial"/>
          <w:b/>
          <w:bCs/>
          <w:color w:val="auto"/>
          <w:sz w:val="24"/>
          <w:szCs w:val="24"/>
        </w:rPr>
      </w:pPr>
      <w:bookmarkStart w:id="18" w:name="__RefHeading___Toc190782020"/>
      <w:bookmarkEnd w:id="18"/>
      <w:r>
        <w:rPr>
          <w:rFonts w:ascii="Arial" w:hAnsi="Arial" w:eastAsia="SimSun" w:cs="Arial"/>
          <w:b/>
          <w:bCs/>
          <w:color w:val="auto"/>
          <w:sz w:val="24"/>
          <w:szCs w:val="24"/>
        </w:rPr>
        <w:t>14. DO ENVIO DE DOCUMENTOS COMPLEMENTARES QUANDO FOR O CASO:</w:t>
      </w:r>
    </w:p>
    <w:p w14:paraId="7971A8E5">
      <w:pPr>
        <w:ind w:left="284"/>
        <w:jc w:val="both"/>
        <w:rPr>
          <w:rFonts w:eastAsia="SimSun"/>
          <w:b/>
          <w:color w:val="000000"/>
          <w:kern w:val="2"/>
        </w:rPr>
      </w:pPr>
    </w:p>
    <w:p w14:paraId="186944CB">
      <w:pPr>
        <w:jc w:val="both"/>
      </w:pPr>
      <w:r>
        <w:rPr>
          <w:b/>
        </w:rPr>
        <w:t xml:space="preserve">14.1. </w:t>
      </w:r>
      <w:r>
        <w:t xml:space="preserve">Na hipótese de necessidade de envio de documentos complementares após o julgamento da proposta, os documentos deverão ser apresentados em formato digital, </w:t>
      </w:r>
      <w:r>
        <w:rPr>
          <w:color w:val="000000"/>
        </w:rPr>
        <w:t>via sistema BLL</w:t>
      </w:r>
      <w:r>
        <w:t>, no prazo máximo de até 02 (dois) dias úteis, após solicitação do Pregoeiro;</w:t>
      </w:r>
    </w:p>
    <w:p w14:paraId="1980CCEE">
      <w:pPr>
        <w:ind w:left="284"/>
        <w:jc w:val="both"/>
        <w:rPr>
          <w:b/>
        </w:rPr>
      </w:pPr>
    </w:p>
    <w:p w14:paraId="7D428E3D">
      <w:pPr>
        <w:ind w:left="284"/>
        <w:jc w:val="both"/>
      </w:pPr>
      <w:r>
        <w:rPr>
          <w:b/>
        </w:rPr>
        <w:t xml:space="preserve">14.1.1. </w:t>
      </w:r>
      <w:r>
        <w:t>Os documentos complementares a serem apresentados não poderão ser os já exigidos no edital para fins de habilitação, não se trata de uma segunda oportunidade para envio de documentos de habilitação. A diligência em questão permite, apenas, a solicitação de documentos outros para confirmação dos já apresentados (quando houver dúvida sobre integridade de documentos, cópia de contrato de prestação de serviços que tenha embasado a emissão de atestado de capacidade técnica, já apresentados).</w:t>
      </w:r>
    </w:p>
    <w:p w14:paraId="7D57BACF">
      <w:pPr>
        <w:ind w:left="284"/>
        <w:jc w:val="both"/>
        <w:rPr>
          <w:color w:val="000000"/>
        </w:rPr>
      </w:pPr>
    </w:p>
    <w:p w14:paraId="29A692C2">
      <w:pPr>
        <w:pStyle w:val="2"/>
        <w:autoSpaceDE w:val="0"/>
        <w:spacing w:before="0" w:after="0"/>
        <w:rPr>
          <w:rFonts w:ascii="Arial" w:hAnsi="Arial" w:cs="Arial"/>
          <w:b/>
          <w:bCs/>
          <w:color w:val="000000" w:themeColor="text1"/>
          <w:sz w:val="22"/>
          <w:szCs w:val="22"/>
          <w14:textFill>
            <w14:solidFill>
              <w14:schemeClr w14:val="tx1"/>
            </w14:solidFill>
          </w14:textFill>
        </w:rPr>
      </w:pPr>
      <w:bookmarkStart w:id="19" w:name="__RefHeading___Toc190782021"/>
      <w:bookmarkEnd w:id="19"/>
      <w:r>
        <w:rPr>
          <w:rFonts w:ascii="Arial" w:hAnsi="Arial" w:eastAsia="SimSun" w:cs="Arial"/>
          <w:b/>
          <w:bCs/>
          <w:color w:val="000000" w:themeColor="text1"/>
          <w:sz w:val="22"/>
          <w:szCs w:val="22"/>
          <w14:textFill>
            <w14:solidFill>
              <w14:schemeClr w14:val="tx1"/>
            </w14:solidFill>
          </w14:textFill>
        </w:rPr>
        <w:t>15. DA ADJUDICAÇÃO E HOMOLOGAÇÃO:</w:t>
      </w:r>
    </w:p>
    <w:p w14:paraId="7658E42E">
      <w:pPr>
        <w:jc w:val="both"/>
        <w:rPr>
          <w:rFonts w:eastAsia="SimSun"/>
          <w:kern w:val="2"/>
        </w:rPr>
      </w:pPr>
    </w:p>
    <w:p w14:paraId="4B36B265">
      <w:pPr>
        <w:jc w:val="both"/>
      </w:pPr>
      <w:r>
        <w:rPr>
          <w:b/>
        </w:rPr>
        <w:t>15.1.</w:t>
      </w:r>
      <w:r>
        <w:t xml:space="preserve"> Não havendo recurso e constatado o atendimento das exigências fixadas neste Edital, a licitante será declarada vencedora do certame, sendo-lhe adjudicado o objeto pela autoridade competente.</w:t>
      </w:r>
    </w:p>
    <w:p w14:paraId="0C66A5EF">
      <w:pPr>
        <w:autoSpaceDE w:val="0"/>
        <w:ind w:left="708"/>
        <w:jc w:val="both"/>
      </w:pPr>
    </w:p>
    <w:p w14:paraId="58F8821D">
      <w:pPr>
        <w:jc w:val="both"/>
      </w:pPr>
      <w:r>
        <w:rPr>
          <w:b/>
        </w:rPr>
        <w:t>15.2.</w:t>
      </w:r>
      <w:r>
        <w:t xml:space="preserve"> Havendo recurso, e mantida a decisão do(a) pregoeiro(a), a autoridade competente, após deliberar sobre o mesmo e constatada a regularidade dos atos procedimentais, poderá adjudicar o objeto à licitante vencedora e homologar o processo licitatório.</w:t>
      </w:r>
    </w:p>
    <w:p w14:paraId="50A46687">
      <w:pPr>
        <w:autoSpaceDE w:val="0"/>
        <w:ind w:left="708"/>
        <w:jc w:val="both"/>
      </w:pPr>
    </w:p>
    <w:p w14:paraId="4DFE3AA2">
      <w:pPr>
        <w:jc w:val="both"/>
      </w:pPr>
      <w:r>
        <w:rPr>
          <w:b/>
        </w:rPr>
        <w:t>15.3.</w:t>
      </w:r>
      <w:r>
        <w:t xml:space="preserve"> Encerrada a etapa de recurso o(a) pregoeiro(a) encaminhará os autos do processo para a autoridade competente, para adjudicação e homologação do procedimento licitatório, observadas, no que couber, as disposições do </w:t>
      </w:r>
      <w:r>
        <w:rPr>
          <w:color w:val="000000"/>
          <w:u w:val="single"/>
        </w:rPr>
        <w:t>art. 71 da Lei Federal nº 14.133/2021</w:t>
      </w:r>
      <w:r>
        <w:t>.</w:t>
      </w:r>
    </w:p>
    <w:p w14:paraId="2D1C40C7">
      <w:pPr>
        <w:jc w:val="both"/>
      </w:pPr>
    </w:p>
    <w:p w14:paraId="2FEDE9A9">
      <w:pPr>
        <w:pStyle w:val="2"/>
        <w:autoSpaceDE w:val="0"/>
        <w:spacing w:before="0" w:after="0"/>
        <w:rPr>
          <w:rFonts w:ascii="Arial" w:hAnsi="Arial" w:cs="Arial"/>
          <w:b/>
          <w:bCs/>
          <w:color w:val="000000" w:themeColor="text1"/>
          <w:sz w:val="22"/>
          <w:szCs w:val="22"/>
          <w14:textFill>
            <w14:solidFill>
              <w14:schemeClr w14:val="tx1"/>
            </w14:solidFill>
          </w14:textFill>
        </w:rPr>
      </w:pPr>
      <w:r>
        <w:rPr>
          <w:rFonts w:ascii="Arial" w:hAnsi="Arial" w:cs="Arial"/>
          <w:b/>
          <w:bCs/>
          <w:color w:val="000000" w:themeColor="text1"/>
          <w:sz w:val="22"/>
          <w:szCs w:val="22"/>
          <w14:textFill>
            <w14:solidFill>
              <w14:schemeClr w14:val="tx1"/>
            </w14:solidFill>
          </w14:textFill>
        </w:rPr>
        <w:t xml:space="preserve">16. DA ATA DE REGISTRO DE PREÇOS: </w:t>
      </w:r>
    </w:p>
    <w:p w14:paraId="5529CA4A">
      <w:pPr>
        <w:autoSpaceDE w:val="0"/>
        <w:rPr>
          <w:b/>
          <w:bCs/>
          <w:kern w:val="2"/>
        </w:rPr>
      </w:pPr>
    </w:p>
    <w:p w14:paraId="3F42672D">
      <w:pPr>
        <w:jc w:val="both"/>
      </w:pPr>
      <w:r>
        <w:rPr>
          <w:b/>
        </w:rPr>
        <w:t>16.1.</w:t>
      </w:r>
      <w:r>
        <w:t xml:space="preserve"> Homologado o resultado da licitação, o licitante melhor classificado terá o prazo de 05 (cinco) dias, contados a partir da data de sua convocação, para assinar a Ata de Registro de Preços, cujo prazo de validade encontra-se nela fixado, sob pena de decadência do direito à contratação, sem prejuízo das sanções previstas na Lei nº 14.133, de 2021; </w:t>
      </w:r>
    </w:p>
    <w:p w14:paraId="717D1192">
      <w:pPr>
        <w:ind w:left="284"/>
        <w:jc w:val="both"/>
      </w:pPr>
    </w:p>
    <w:p w14:paraId="66180147">
      <w:pPr>
        <w:jc w:val="both"/>
      </w:pPr>
      <w:r>
        <w:rPr>
          <w:b/>
        </w:rPr>
        <w:t>16.2.</w:t>
      </w:r>
      <w:r>
        <w:t xml:space="preserve"> Alternativamente à convocação para comparecer perante o órgão ou entidade para a assinatura da Ata de Registro de Preços, a Administração poderá encaminhá-la para assinatura, mediante correspondência postal com aviso de recebimento (AR) ou meio eletrônico, para que seja assinada no prazo de 5 (cinco) dias, a contar da data de seu recebimento;</w:t>
      </w:r>
    </w:p>
    <w:p w14:paraId="41F5E8B8">
      <w:pPr>
        <w:ind w:left="284"/>
        <w:jc w:val="both"/>
        <w:rPr>
          <w:b/>
        </w:rPr>
      </w:pPr>
    </w:p>
    <w:p w14:paraId="11EDB237">
      <w:pPr>
        <w:jc w:val="both"/>
      </w:pPr>
      <w:r>
        <w:rPr>
          <w:b/>
        </w:rPr>
        <w:t>16.3.</w:t>
      </w:r>
      <w:r>
        <w:t xml:space="preserve"> O prazo de convocação poderá ser prorrogado uma vez, por igual período, mediante solicitação do licitante melhor classificado ou do fornecedor convocado, desde que:</w:t>
      </w:r>
    </w:p>
    <w:p w14:paraId="66DA9383">
      <w:pPr>
        <w:ind w:left="284"/>
        <w:jc w:val="both"/>
      </w:pPr>
    </w:p>
    <w:p w14:paraId="6A59F6E2">
      <w:pPr>
        <w:ind w:left="284"/>
        <w:jc w:val="both"/>
      </w:pPr>
      <w:r>
        <w:rPr>
          <w:b/>
        </w:rPr>
        <w:t xml:space="preserve">16.3.1. </w:t>
      </w:r>
      <w:r>
        <w:t>A solicitação seja devidamente justificada e apresentada dentro do prazo; e</w:t>
      </w:r>
    </w:p>
    <w:p w14:paraId="18612454">
      <w:pPr>
        <w:ind w:left="284"/>
        <w:jc w:val="both"/>
      </w:pPr>
    </w:p>
    <w:p w14:paraId="61BB7764">
      <w:pPr>
        <w:ind w:left="284"/>
        <w:jc w:val="both"/>
      </w:pPr>
      <w:r>
        <w:rPr>
          <w:b/>
        </w:rPr>
        <w:t xml:space="preserve">16.3.1. </w:t>
      </w:r>
      <w:r>
        <w:t>A justificativa apresentada seja aceita pela Administração;</w:t>
      </w:r>
    </w:p>
    <w:p w14:paraId="6FE01F1A">
      <w:pPr>
        <w:ind w:left="284"/>
        <w:jc w:val="both"/>
      </w:pPr>
    </w:p>
    <w:p w14:paraId="0416183E">
      <w:pPr>
        <w:jc w:val="both"/>
      </w:pPr>
      <w:r>
        <w:rPr>
          <w:b/>
        </w:rPr>
        <w:t>16.4.</w:t>
      </w:r>
      <w:r>
        <w:t xml:space="preserve"> A ata de registro de preços será assinada por meio de assinatura digital e disponibilizada no sistema de registro de preços;</w:t>
      </w:r>
    </w:p>
    <w:p w14:paraId="5EACB64C">
      <w:pPr>
        <w:ind w:left="284"/>
        <w:jc w:val="both"/>
      </w:pPr>
    </w:p>
    <w:p w14:paraId="22DA6F28">
      <w:pPr>
        <w:jc w:val="both"/>
      </w:pPr>
      <w:r>
        <w:rPr>
          <w:b/>
        </w:rPr>
        <w:t>16.5.</w:t>
      </w:r>
      <w:r>
        <w:t xml:space="preserve"> 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30E71A70">
      <w:pPr>
        <w:ind w:left="284"/>
        <w:jc w:val="both"/>
      </w:pPr>
    </w:p>
    <w:p w14:paraId="2CEE0A6A">
      <w:pPr>
        <w:jc w:val="both"/>
      </w:pPr>
      <w:r>
        <w:rPr>
          <w:b/>
        </w:rPr>
        <w:t>16.6.</w:t>
      </w:r>
      <w:r>
        <w:t xml:space="preserve"> O preço registrado, com a indicação dos fornecedores, será divulgado no DIORONDON e disponibilizado durante a vigência da ata de registro de preços;</w:t>
      </w:r>
    </w:p>
    <w:p w14:paraId="4312422D">
      <w:pPr>
        <w:jc w:val="both"/>
      </w:pPr>
    </w:p>
    <w:p w14:paraId="2E817EA2">
      <w:pPr>
        <w:jc w:val="both"/>
      </w:pPr>
      <w:r>
        <w:rPr>
          <w:b/>
        </w:rPr>
        <w:t>16.7.</w:t>
      </w:r>
      <w:r>
        <w:t xml:space="preserve">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38E3CEDD">
      <w:pPr>
        <w:ind w:left="284"/>
        <w:jc w:val="both"/>
      </w:pPr>
    </w:p>
    <w:p w14:paraId="1683CF1A">
      <w:pPr>
        <w:jc w:val="both"/>
      </w:pPr>
      <w:r>
        <w:rPr>
          <w:b/>
        </w:rPr>
        <w:t>16.8.</w:t>
      </w:r>
      <w:r>
        <w:t xml:space="preserve"> 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55F26494">
      <w:pPr>
        <w:jc w:val="both"/>
      </w:pPr>
      <w:r>
        <w:rPr>
          <w:b/>
          <w:bCs/>
        </w:rPr>
        <w:t xml:space="preserve">16.9. </w:t>
      </w:r>
      <w:r>
        <w:t>Serão formalizadas tantas Atas de Registro de Preços quanto necessárias para o registro de todos os itens constantes no Termo de Referência, com a indicação do licitante vencedor, a descrição do (s) item (ns), as respectivas quantidades, preços registrados e demais condições.</w:t>
      </w:r>
    </w:p>
    <w:p w14:paraId="4F0954DC">
      <w:pPr>
        <w:autoSpaceDE w:val="0"/>
        <w:rPr>
          <w:b/>
          <w:bCs/>
        </w:rPr>
      </w:pPr>
    </w:p>
    <w:p w14:paraId="3409669F">
      <w:pPr>
        <w:autoSpaceDE w:val="0"/>
        <w:rPr>
          <w:color w:val="000000" w:themeColor="text1"/>
          <w14:textFill>
            <w14:solidFill>
              <w14:schemeClr w14:val="tx1"/>
            </w14:solidFill>
          </w14:textFill>
        </w:rPr>
      </w:pPr>
      <w:r>
        <w:rPr>
          <w:b/>
          <w:bCs/>
          <w:color w:val="000000" w:themeColor="text1"/>
          <w14:textFill>
            <w14:solidFill>
              <w14:schemeClr w14:val="tx1"/>
            </w14:solidFill>
          </w14:textFill>
        </w:rPr>
        <w:t>16.10. DA FORMAÇÃO DO CADASTRO DE RESERVA:</w:t>
      </w:r>
    </w:p>
    <w:p w14:paraId="67B2AE69">
      <w:pPr>
        <w:autoSpaceDE w:val="0"/>
        <w:rPr>
          <w:b/>
          <w:bCs/>
          <w:color w:val="000000"/>
        </w:rPr>
      </w:pPr>
    </w:p>
    <w:p w14:paraId="4CD9EB61">
      <w:pPr>
        <w:ind w:left="284"/>
        <w:jc w:val="both"/>
      </w:pPr>
      <w:r>
        <w:rPr>
          <w:b/>
        </w:rPr>
        <w:t>16.10.1.</w:t>
      </w:r>
      <w:r>
        <w:t xml:space="preserve"> Após a homologação da licitação, será incluído na ata, na forma de anexo, o registro:</w:t>
      </w:r>
    </w:p>
    <w:p w14:paraId="5F27BE08">
      <w:pPr>
        <w:ind w:left="284"/>
        <w:jc w:val="both"/>
      </w:pPr>
    </w:p>
    <w:p w14:paraId="12B211ED">
      <w:pPr>
        <w:ind w:left="284"/>
        <w:jc w:val="both"/>
      </w:pPr>
      <w:r>
        <w:rPr>
          <w:b/>
        </w:rPr>
        <w:t>16.10.1.1.</w:t>
      </w:r>
      <w:r>
        <w:t xml:space="preserve"> Dos licitantes </w:t>
      </w:r>
      <w:bookmarkStart w:id="20" w:name="_Hlk132991372"/>
      <w:r>
        <w:t xml:space="preserve">que </w:t>
      </w:r>
      <w:bookmarkStart w:id="21" w:name="_Hlk132989696"/>
      <w:r>
        <w:t>aceitarem cotar o objeto com preço igual ao do adjudicatári</w:t>
      </w:r>
      <w:bookmarkEnd w:id="20"/>
      <w:r>
        <w:t>o</w:t>
      </w:r>
      <w:bookmarkEnd w:id="21"/>
      <w:r>
        <w:t>, observada a classificação na licitação;</w:t>
      </w:r>
    </w:p>
    <w:p w14:paraId="796407B1">
      <w:pPr>
        <w:ind w:left="284"/>
        <w:jc w:val="both"/>
      </w:pPr>
    </w:p>
    <w:p w14:paraId="75F6BB0A">
      <w:pPr>
        <w:ind w:left="284"/>
        <w:jc w:val="both"/>
      </w:pPr>
      <w:r>
        <w:rPr>
          <w:b/>
        </w:rPr>
        <w:t>16.10.1.2.</w:t>
      </w:r>
      <w:r>
        <w:t xml:space="preserve"> Dos licitantes que mantiverem sua proposta original;</w:t>
      </w:r>
    </w:p>
    <w:p w14:paraId="15725F1A">
      <w:pPr>
        <w:ind w:left="284"/>
        <w:jc w:val="both"/>
      </w:pPr>
      <w:r>
        <w:t xml:space="preserve">          </w:t>
      </w:r>
    </w:p>
    <w:p w14:paraId="5FB734A5">
      <w:pPr>
        <w:ind w:left="284"/>
        <w:jc w:val="both"/>
      </w:pPr>
      <w:r>
        <w:rPr>
          <w:b/>
        </w:rPr>
        <w:t>16.10.2.</w:t>
      </w:r>
      <w:r>
        <w:t xml:space="preserve"> Será respeitada, nas contratações, a ordem de classificação dos licitantes ou fornecedores registrados na ata;</w:t>
      </w:r>
    </w:p>
    <w:p w14:paraId="126B93BB">
      <w:pPr>
        <w:ind w:left="284"/>
        <w:jc w:val="both"/>
      </w:pPr>
    </w:p>
    <w:p w14:paraId="440F3517">
      <w:pPr>
        <w:ind w:left="284"/>
        <w:jc w:val="both"/>
      </w:pPr>
      <w:r>
        <w:rPr>
          <w:b/>
        </w:rPr>
        <w:t>16.10.2.1.</w:t>
      </w:r>
      <w:r>
        <w:t xml:space="preserve"> A apresentação de novas propostas na forma deste item não prejudicará o resultado do certame em relação ao licitante melhor classificado;</w:t>
      </w:r>
    </w:p>
    <w:p w14:paraId="16748A20">
      <w:pPr>
        <w:ind w:left="284"/>
        <w:jc w:val="both"/>
      </w:pPr>
    </w:p>
    <w:p w14:paraId="0FE3AE24">
      <w:pPr>
        <w:ind w:left="284"/>
        <w:jc w:val="both"/>
      </w:pPr>
      <w:r>
        <w:rPr>
          <w:b/>
        </w:rPr>
        <w:t>16.10.2.2.</w:t>
      </w:r>
      <w:r>
        <w:t xml:space="preserve"> Para fins da ordem de classificação, os licitantes ou fornecedores que aceitarem cotar o objeto com preço igual ao do adjudicatário antecederão aqueles que mantiverem sua proposta original;</w:t>
      </w:r>
    </w:p>
    <w:p w14:paraId="2C9C5D9E">
      <w:pPr>
        <w:ind w:left="284"/>
        <w:jc w:val="both"/>
        <w:rPr>
          <w:b/>
        </w:rPr>
      </w:pPr>
    </w:p>
    <w:p w14:paraId="05C03544">
      <w:pPr>
        <w:ind w:left="284"/>
        <w:jc w:val="both"/>
      </w:pPr>
      <w:r>
        <w:rPr>
          <w:b/>
        </w:rPr>
        <w:t>16.10.3.</w:t>
      </w:r>
      <w:r>
        <w:t xml:space="preserve"> A habilitação dos licitantes que comporão o cadastro de reserva será efetuada quando houver necessidade de contratação dos licitantes remanescentes, nas seguintes hipóteses:</w:t>
      </w:r>
    </w:p>
    <w:p w14:paraId="39C83464">
      <w:pPr>
        <w:ind w:left="284"/>
        <w:jc w:val="both"/>
      </w:pPr>
    </w:p>
    <w:p w14:paraId="508EAD21">
      <w:pPr>
        <w:ind w:left="284"/>
        <w:jc w:val="both"/>
      </w:pPr>
      <w:r>
        <w:rPr>
          <w:b/>
        </w:rPr>
        <w:t>16.10.3.1.</w:t>
      </w:r>
      <w:r>
        <w:t xml:space="preserve"> Quando o licitante vencedor não assinar a ata de registro de preços no prazo e nas condições estabelecidos no edital; ou</w:t>
      </w:r>
    </w:p>
    <w:p w14:paraId="0C94ABCD">
      <w:pPr>
        <w:ind w:left="284"/>
        <w:jc w:val="both"/>
      </w:pPr>
    </w:p>
    <w:p w14:paraId="3E8F7EA9">
      <w:pPr>
        <w:ind w:left="284"/>
        <w:jc w:val="both"/>
      </w:pPr>
      <w:r>
        <w:rPr>
          <w:b/>
        </w:rPr>
        <w:t>16.10.3.2.</w:t>
      </w:r>
      <w:r>
        <w:t xml:space="preserve"> Quando houver o cancelamento do registro do fornecedor ou do registro de preços;</w:t>
      </w:r>
    </w:p>
    <w:p w14:paraId="34378019">
      <w:pPr>
        <w:ind w:left="284"/>
        <w:jc w:val="both"/>
      </w:pPr>
    </w:p>
    <w:p w14:paraId="334F3699">
      <w:pPr>
        <w:ind w:left="284"/>
        <w:jc w:val="both"/>
      </w:pPr>
      <w:r>
        <w:rPr>
          <w:b/>
        </w:rPr>
        <w:t>16.10.4.</w:t>
      </w:r>
      <w:r>
        <w:t xml:space="preserve"> 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00EE6919">
      <w:pPr>
        <w:ind w:left="284"/>
        <w:jc w:val="both"/>
        <w:rPr>
          <w:b/>
        </w:rPr>
      </w:pPr>
    </w:p>
    <w:p w14:paraId="55428B91">
      <w:pPr>
        <w:ind w:left="284"/>
        <w:jc w:val="both"/>
      </w:pPr>
      <w:r>
        <w:rPr>
          <w:b/>
        </w:rPr>
        <w:t xml:space="preserve">16.10.4.1. </w:t>
      </w:r>
      <w:r>
        <w:t>Convocar os licitantes que mantiveram sua proposta original para negociação, na ordem de classificação, com vistas à obtenção de preço melhor, mesmo que acima do preço do adjudicatário; ou</w:t>
      </w:r>
    </w:p>
    <w:p w14:paraId="74F12F50">
      <w:pPr>
        <w:ind w:left="284"/>
        <w:jc w:val="both"/>
        <w:rPr>
          <w:b/>
        </w:rPr>
      </w:pPr>
    </w:p>
    <w:p w14:paraId="63B0FC1B">
      <w:pPr>
        <w:ind w:left="284"/>
        <w:jc w:val="both"/>
      </w:pPr>
      <w:r>
        <w:rPr>
          <w:b/>
        </w:rPr>
        <w:t xml:space="preserve">16.10.4.2. </w:t>
      </w:r>
      <w:r>
        <w:t>Adjudicar e firmar o contrato nas condições ofertadas pelos licitantes remanescentes, observada a ordem de classificação, quando frustrada a negociação de melhor condição.</w:t>
      </w:r>
    </w:p>
    <w:p w14:paraId="17C49551">
      <w:pPr>
        <w:jc w:val="both"/>
        <w:rPr>
          <w:b/>
          <w:color w:val="000000"/>
        </w:rPr>
      </w:pPr>
    </w:p>
    <w:p w14:paraId="6BA1016A">
      <w:pPr>
        <w:jc w:val="both"/>
      </w:pPr>
      <w:r>
        <w:rPr>
          <w:b/>
          <w:color w:val="000000"/>
        </w:rPr>
        <w:t>16.11. DA MOTIVAÇÃO PARA NÃO ADESÃO A ARP ("CARONA"):</w:t>
      </w:r>
    </w:p>
    <w:p w14:paraId="1AC03A2B">
      <w:pPr>
        <w:jc w:val="both"/>
        <w:rPr>
          <w:b/>
          <w:color w:val="000000"/>
        </w:rPr>
      </w:pPr>
    </w:p>
    <w:p w14:paraId="5B84446F">
      <w:pPr>
        <w:ind w:left="284"/>
        <w:jc w:val="both"/>
      </w:pPr>
      <w:r>
        <w:rPr>
          <w:b/>
          <w:color w:val="000000"/>
        </w:rPr>
        <w:t>16.11.1.</w:t>
      </w:r>
      <w:r>
        <w:rPr>
          <w:color w:val="000000"/>
        </w:rPr>
        <w:t xml:space="preserve"> Por falta de justificativa ou motivação por parte das unidades demandantes a cláusula foi excluída, conforme orientação do TCU: “A inserção de cláusula em edital licitatório prevendo a possibilidade de adesão a ata de registro de preços por órgãos ou entidades não participantes do planejamento da contratação ("carona") exige justificativa específica, lastreada em estudo técnico referente ao objeto licitado e devidamente registrada no documento de planejamento da contratação.” (Acórdão 311/2018-Plenário | Relator: BRUNO DANTAS).</w:t>
      </w:r>
    </w:p>
    <w:p w14:paraId="7C4234BB">
      <w:pPr>
        <w:ind w:left="284"/>
        <w:jc w:val="both"/>
        <w:rPr>
          <w:color w:val="000000"/>
          <w:u w:val="single"/>
        </w:rPr>
      </w:pPr>
    </w:p>
    <w:p w14:paraId="12EDE50B">
      <w:pPr>
        <w:ind w:left="284"/>
        <w:jc w:val="both"/>
        <w:rPr>
          <w:u w:val="single"/>
        </w:rPr>
      </w:pPr>
      <w:r>
        <w:rPr>
          <w:b/>
          <w:color w:val="000000"/>
          <w:u w:val="single"/>
        </w:rPr>
        <w:t>16.11.2.</w:t>
      </w:r>
      <w:r>
        <w:rPr>
          <w:color w:val="000000"/>
          <w:u w:val="single"/>
        </w:rPr>
        <w:t xml:space="preserve"> Fica vedada à participação do órgão ou entidade em mais de uma ata de registro de preços com o mesmo objeto no prazo de validade daquela de que já tiver participado, salvo na ocorrência de ata que tenha registrado quantitativo inferior ao máximo previsto no edital; (Art.82 Inciso VIII, Lei 14.133/2021).</w:t>
      </w:r>
    </w:p>
    <w:p w14:paraId="6CE8F8A8">
      <w:pPr>
        <w:pStyle w:val="2"/>
        <w:autoSpaceDE w:val="0"/>
        <w:spacing w:before="0" w:after="0"/>
        <w:rPr>
          <w:rFonts w:ascii="Arial" w:hAnsi="Arial" w:cs="Arial"/>
          <w:b/>
          <w:bCs/>
          <w:color w:val="auto"/>
          <w:sz w:val="24"/>
          <w:szCs w:val="24"/>
        </w:rPr>
      </w:pPr>
      <w:r>
        <w:rPr>
          <w:rFonts w:ascii="Arial" w:hAnsi="Arial" w:eastAsia="SimSun" w:cs="Arial"/>
          <w:b/>
          <w:bCs/>
          <w:color w:val="auto"/>
          <w:sz w:val="24"/>
          <w:szCs w:val="24"/>
        </w:rPr>
        <w:t>17. DOS RECURSOS SOBRE PROPOSTA, HABILITAÇÃO OU INABILITAÇÃO DE LICITANTES:</w:t>
      </w:r>
    </w:p>
    <w:p w14:paraId="40984263">
      <w:pPr>
        <w:autoSpaceDE w:val="0"/>
        <w:ind w:left="284"/>
        <w:rPr>
          <w:rFonts w:eastAsia="SimSun"/>
          <w:b/>
          <w:kern w:val="2"/>
        </w:rPr>
      </w:pPr>
    </w:p>
    <w:p w14:paraId="2C37A576">
      <w:pPr>
        <w:jc w:val="both"/>
      </w:pPr>
      <w:r>
        <w:rPr>
          <w:b/>
          <w:color w:val="000000"/>
        </w:rPr>
        <w:t>17.1.</w:t>
      </w:r>
      <w:r>
        <w:rPr>
          <w:color w:val="000000"/>
        </w:rPr>
        <w:t xml:space="preserve"> Ao final da sessão </w:t>
      </w:r>
      <w:r>
        <w:rPr>
          <w:b/>
          <w:color w:val="000000"/>
        </w:rPr>
        <w:t>Declarado o(s) Vencedor(es)</w:t>
      </w:r>
      <w:r>
        <w:rPr>
          <w:color w:val="000000"/>
        </w:rPr>
        <w:t xml:space="preserve">, qualquer licitante poderá, </w:t>
      </w:r>
      <w:r>
        <w:rPr>
          <w:color w:val="000000"/>
          <w:shd w:val="clear" w:color="auto" w:fill="FFFFFF"/>
        </w:rPr>
        <w:t xml:space="preserve">durante o </w:t>
      </w:r>
      <w:r>
        <w:rPr>
          <w:b/>
          <w:color w:val="000000"/>
          <w:shd w:val="clear" w:color="auto" w:fill="FFFFFF"/>
        </w:rPr>
        <w:t>prazo de 60 (sessenta) minutos</w:t>
      </w:r>
      <w:r>
        <w:rPr>
          <w:color w:val="000000"/>
          <w:shd w:val="clear" w:color="auto" w:fill="FFFFFF"/>
        </w:rPr>
        <w:t xml:space="preserve">, </w:t>
      </w:r>
      <w:r>
        <w:rPr>
          <w:color w:val="000000"/>
        </w:rPr>
        <w:t xml:space="preserve">de forma imediata, em campo próprio </w:t>
      </w:r>
      <w:r>
        <w:t>no sítio eletrônico</w:t>
      </w:r>
      <w:r>
        <w:rPr>
          <w:color w:val="000000"/>
        </w:rPr>
        <w:t xml:space="preserve"> </w:t>
      </w:r>
      <w:r>
        <w:fldChar w:fldCharType="begin"/>
      </w:r>
      <w:r>
        <w:instrText xml:space="preserve"> HYPERLINK "mailto:bllcompras.com" </w:instrText>
      </w:r>
      <w:r>
        <w:fldChar w:fldCharType="separate"/>
      </w:r>
      <w:r>
        <w:rPr>
          <w:rStyle w:val="19"/>
          <w:b/>
        </w:rPr>
        <w:t>bllcompras.com</w:t>
      </w:r>
      <w:r>
        <w:rPr>
          <w:rStyle w:val="19"/>
          <w:b/>
        </w:rPr>
        <w:fldChar w:fldCharType="end"/>
      </w:r>
      <w:r>
        <w:rPr>
          <w:color w:val="000000"/>
        </w:rPr>
        <w:t>, manifestar sua intenção de recorrer, impugnando o julgamento da(s) proposta(s) ou o ato de habilitação ou inabilitação do(s) licitante(s), sob pena de preclusão desse direito;</w:t>
      </w:r>
    </w:p>
    <w:p w14:paraId="6DD35D02">
      <w:pPr>
        <w:ind w:left="284"/>
        <w:jc w:val="both"/>
        <w:rPr>
          <w:b/>
          <w:color w:val="000000"/>
        </w:rPr>
      </w:pPr>
    </w:p>
    <w:p w14:paraId="60A3F7F5">
      <w:pPr>
        <w:ind w:left="284"/>
        <w:jc w:val="both"/>
      </w:pPr>
      <w:r>
        <w:rPr>
          <w:b/>
        </w:rPr>
        <w:t>17.1.1.</w:t>
      </w:r>
      <w:r>
        <w:t xml:space="preserve"> A interposição de recurso referente ao julgamento das propostas, à habilitação ou inabilitação de licitantes, à anulação ou revogação da licitação, observará o disposto no </w:t>
      </w:r>
      <w:r>
        <w:fldChar w:fldCharType="begin"/>
      </w:r>
      <w:r>
        <w:instrText xml:space="preserve"> HYPERLINK "http://www.planalto.gov.br/ccivil_03/_ato2019-2022/2021/lei/L14133.htm" \l "art165" </w:instrText>
      </w:r>
      <w:r>
        <w:fldChar w:fldCharType="separate"/>
      </w:r>
      <w:r>
        <w:rPr>
          <w:rStyle w:val="19"/>
        </w:rPr>
        <w:t>art. 165 da Lei nº 14.133, de 2021</w:t>
      </w:r>
      <w:r>
        <w:rPr>
          <w:rStyle w:val="19"/>
        </w:rPr>
        <w:fldChar w:fldCharType="end"/>
      </w:r>
      <w:r>
        <w:t>;</w:t>
      </w:r>
    </w:p>
    <w:p w14:paraId="0D6C50F1">
      <w:pPr>
        <w:ind w:left="284"/>
        <w:jc w:val="both"/>
      </w:pPr>
      <w:r>
        <w:rPr>
          <w:color w:val="000000"/>
        </w:rPr>
        <w:t xml:space="preserve"> </w:t>
      </w:r>
    </w:p>
    <w:p w14:paraId="0F69E65A">
      <w:pPr>
        <w:jc w:val="both"/>
      </w:pPr>
      <w:r>
        <w:rPr>
          <w:b/>
          <w:color w:val="212529"/>
          <w:shd w:val="clear" w:color="auto" w:fill="FFFFFF"/>
        </w:rPr>
        <w:t>17.2.</w:t>
      </w:r>
      <w:r>
        <w:rPr>
          <w:color w:val="212529"/>
          <w:shd w:val="clear" w:color="auto" w:fill="FFFFFF"/>
        </w:rPr>
        <w:t xml:space="preserve"> A ausência de manifestação imediata e motivada do licitante nos termos do disposto no </w:t>
      </w:r>
      <w:r>
        <w:rPr>
          <w:b/>
          <w:color w:val="212529"/>
          <w:shd w:val="clear" w:color="auto" w:fill="FFFFFF"/>
        </w:rPr>
        <w:t>item 16.1</w:t>
      </w:r>
      <w:r>
        <w:rPr>
          <w:color w:val="212529"/>
          <w:shd w:val="clear" w:color="auto" w:fill="FFFFFF"/>
        </w:rPr>
        <w:t xml:space="preserve">, importará na decadência </w:t>
      </w:r>
      <w:r>
        <w:t>do direito de recurso</w:t>
      </w:r>
      <w:r>
        <w:rPr>
          <w:color w:val="212529"/>
          <w:shd w:val="clear" w:color="auto" w:fill="FFFFFF"/>
        </w:rPr>
        <w:t>, e o Pregoeiro estará autorizado a adjudicar o objeto ao licitante declarado vencedor;</w:t>
      </w:r>
    </w:p>
    <w:p w14:paraId="6CB6B208">
      <w:pPr>
        <w:ind w:left="284"/>
        <w:jc w:val="both"/>
        <w:rPr>
          <w:color w:val="212529"/>
          <w:shd w:val="clear" w:color="auto" w:fill="FFFFFF"/>
        </w:rPr>
      </w:pPr>
    </w:p>
    <w:p w14:paraId="37D8C49C">
      <w:pPr>
        <w:jc w:val="both"/>
      </w:pPr>
      <w:r>
        <w:rPr>
          <w:b/>
        </w:rPr>
        <w:t>17.3.</w:t>
      </w:r>
      <w:r>
        <w:t xml:space="preserve"> Só será acatado o recurso em memorial descritivo, a mensagem postada no site só servirá para efeito de manifestação de intenção de recorrer.</w:t>
      </w:r>
    </w:p>
    <w:p w14:paraId="11FB5723">
      <w:pPr>
        <w:ind w:left="284"/>
        <w:jc w:val="both"/>
      </w:pPr>
    </w:p>
    <w:p w14:paraId="724A919C">
      <w:pPr>
        <w:jc w:val="both"/>
      </w:pPr>
      <w:r>
        <w:rPr>
          <w:b/>
        </w:rPr>
        <w:t>17.4.</w:t>
      </w:r>
      <w:r>
        <w:t xml:space="preserve"> A alegação apresentada no memorial do recurso deverá relacionar-se com as razões indicadas pela licitante no momento da sessão pública, sob pena de não ser conhecido o recurso. </w:t>
      </w:r>
    </w:p>
    <w:p w14:paraId="31C0FAD8">
      <w:pPr>
        <w:ind w:left="284"/>
        <w:jc w:val="both"/>
      </w:pPr>
    </w:p>
    <w:p w14:paraId="5363FCF8">
      <w:pPr>
        <w:jc w:val="both"/>
      </w:pPr>
      <w:r>
        <w:rPr>
          <w:b/>
        </w:rPr>
        <w:t>17.5.</w:t>
      </w:r>
      <w:r>
        <w:t xml:space="preserve"> </w:t>
      </w:r>
      <w:r>
        <w:rPr>
          <w:color w:val="000000"/>
        </w:rPr>
        <w:t>O prazo para apresentação das razões recursais</w:t>
      </w:r>
      <w:r>
        <w:t xml:space="preserve"> será de 3 (três) dias úteis, contados da data </w:t>
      </w:r>
      <w:r>
        <w:rPr>
          <w:color w:val="000000"/>
        </w:rPr>
        <w:t>de lavratura da ata de habilitação ou inabilitação ou da intimação conforme o caso;</w:t>
      </w:r>
    </w:p>
    <w:p w14:paraId="3DECA164">
      <w:pPr>
        <w:ind w:left="284"/>
        <w:jc w:val="both"/>
        <w:rPr>
          <w:color w:val="000000"/>
        </w:rPr>
      </w:pPr>
    </w:p>
    <w:p w14:paraId="39F8575D">
      <w:pPr>
        <w:jc w:val="both"/>
      </w:pPr>
      <w:r>
        <w:rPr>
          <w:b/>
        </w:rPr>
        <w:t xml:space="preserve">17.6. </w:t>
      </w:r>
      <w: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73C630E">
      <w:pPr>
        <w:ind w:left="284"/>
        <w:jc w:val="both"/>
      </w:pPr>
    </w:p>
    <w:p w14:paraId="32B0C284">
      <w:pPr>
        <w:jc w:val="both"/>
      </w:pPr>
      <w:r>
        <w:rPr>
          <w:b/>
        </w:rPr>
        <w:t xml:space="preserve">17.7. </w:t>
      </w:r>
      <w:r>
        <w:t xml:space="preserve">Os recursos e contrarrazões ao recurso deverão ser encaminhados exclusivamente em campo próprio no sítio eletrônico </w:t>
      </w:r>
      <w:r>
        <w:rPr>
          <w:color w:val="000000"/>
        </w:rPr>
        <w:t>bllcompras.com;</w:t>
      </w:r>
    </w:p>
    <w:p w14:paraId="4222FECC">
      <w:pPr>
        <w:ind w:left="284"/>
        <w:jc w:val="both"/>
        <w:rPr>
          <w:color w:val="000000"/>
        </w:rPr>
      </w:pPr>
    </w:p>
    <w:p w14:paraId="53959E77">
      <w:pPr>
        <w:jc w:val="both"/>
      </w:pPr>
      <w:r>
        <w:rPr>
          <w:b/>
        </w:rPr>
        <w:t xml:space="preserve">17.8. </w:t>
      </w:r>
      <w:r>
        <w:t>Os recursos interpostos fora do prazo não serão conhecidos;</w:t>
      </w:r>
    </w:p>
    <w:p w14:paraId="2DED2A93">
      <w:pPr>
        <w:ind w:left="284"/>
        <w:jc w:val="both"/>
      </w:pPr>
    </w:p>
    <w:p w14:paraId="7E872017">
      <w:pPr>
        <w:jc w:val="both"/>
      </w:pPr>
      <w:r>
        <w:rPr>
          <w:b/>
        </w:rPr>
        <w:t xml:space="preserve">17.9. </w:t>
      </w:r>
      <w:r>
        <w:t xml:space="preserve">Os autos do processo permanecerão com vista franqueada aos interessados no sítio eletrônico </w:t>
      </w:r>
      <w:r>
        <w:rPr>
          <w:color w:val="000000"/>
        </w:rPr>
        <w:t>bllcompras.com;</w:t>
      </w:r>
    </w:p>
    <w:p w14:paraId="20E718A1">
      <w:pPr>
        <w:ind w:left="284"/>
        <w:jc w:val="both"/>
      </w:pPr>
      <w:r>
        <w:t xml:space="preserve"> </w:t>
      </w:r>
    </w:p>
    <w:p w14:paraId="5CA89F25">
      <w:pPr>
        <w:jc w:val="both"/>
      </w:pPr>
      <w:r>
        <w:rPr>
          <w:b/>
        </w:rPr>
        <w:t xml:space="preserve">17.10. </w:t>
      </w:r>
      <w:r>
        <w:t xml:space="preserve">O recurso e o pedido de reconsideração terão efeito suspensivo do ato ou da decisão recorrida até que sobrevenha decisão final da autoridade competente; </w:t>
      </w:r>
    </w:p>
    <w:p w14:paraId="4BEE334B">
      <w:pPr>
        <w:ind w:left="284"/>
        <w:jc w:val="both"/>
        <w:rPr>
          <w:b/>
        </w:rPr>
      </w:pPr>
    </w:p>
    <w:p w14:paraId="0C32B0D2">
      <w:pPr>
        <w:jc w:val="both"/>
      </w:pPr>
      <w:r>
        <w:rPr>
          <w:b/>
        </w:rPr>
        <w:t xml:space="preserve">17.11. </w:t>
      </w:r>
      <w:r>
        <w:t>O acolhimento do recurso invalida tão somente os atos insuscetíveis de aproveitamento;</w:t>
      </w:r>
    </w:p>
    <w:p w14:paraId="597652D0">
      <w:pPr>
        <w:jc w:val="both"/>
      </w:pPr>
      <w:r>
        <w:rPr>
          <w:b/>
        </w:rPr>
        <w:t xml:space="preserve">17.12. </w:t>
      </w:r>
      <w: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2B53D4B9">
      <w:pPr>
        <w:ind w:right="99"/>
        <w:jc w:val="both"/>
        <w:rPr>
          <w:b/>
        </w:rPr>
      </w:pPr>
    </w:p>
    <w:p w14:paraId="4A148AE8">
      <w:pPr>
        <w:pStyle w:val="2"/>
        <w:autoSpaceDE w:val="0"/>
        <w:spacing w:before="0" w:after="0"/>
        <w:jc w:val="both"/>
        <w:rPr>
          <w:rFonts w:ascii="Arial" w:hAnsi="Arial" w:cs="Arial"/>
          <w:b/>
          <w:bCs/>
          <w:color w:val="000000" w:themeColor="text1"/>
          <w:sz w:val="22"/>
          <w:szCs w:val="22"/>
          <w14:textFill>
            <w14:solidFill>
              <w14:schemeClr w14:val="tx1"/>
            </w14:solidFill>
          </w14:textFill>
        </w:rPr>
      </w:pPr>
      <w:bookmarkStart w:id="22" w:name="__RefHeading___Toc190782024"/>
      <w:bookmarkEnd w:id="22"/>
      <w:r>
        <w:rPr>
          <w:rFonts w:ascii="Arial" w:hAnsi="Arial" w:eastAsia="SimSun" w:cs="Arial"/>
          <w:b/>
          <w:bCs/>
          <w:color w:val="000000" w:themeColor="text1"/>
          <w:sz w:val="22"/>
          <w:szCs w:val="22"/>
          <w14:textFill>
            <w14:solidFill>
              <w14:schemeClr w14:val="tx1"/>
            </w14:solidFill>
          </w14:textFill>
        </w:rPr>
        <w:t>18. DA FORMA PARA ENTREGA DOS PRODUTOS E DAS REGRAS PARA RECEBIMENTOS PROVISÓRIO E DEFINITIVO, QUANDO FOR O CASO:</w:t>
      </w:r>
    </w:p>
    <w:p w14:paraId="1121CDFC">
      <w:pPr>
        <w:autoSpaceDE w:val="0"/>
        <w:jc w:val="both"/>
        <w:rPr>
          <w:rFonts w:eastAsia="SimSun"/>
          <w:kern w:val="2"/>
        </w:rPr>
      </w:pPr>
    </w:p>
    <w:p w14:paraId="58E7FF02">
      <w:pPr>
        <w:autoSpaceDE w:val="0"/>
        <w:jc w:val="both"/>
        <w:rPr>
          <w:rStyle w:val="207"/>
        </w:rPr>
      </w:pPr>
      <w:r>
        <w:rPr>
          <w:rStyle w:val="207"/>
          <w:b/>
        </w:rPr>
        <w:t>18.1.</w:t>
      </w:r>
      <w:r>
        <w:rPr>
          <w:rStyle w:val="207"/>
        </w:rPr>
        <w:t xml:space="preserve"> O prazo para entrega do objeto licitado no local indicado pelo Município de Rondonópolis dentro do perímetro urbano será de ACORDO TERMO DE REFERENCIA, contados a partir do dia útil seguinte à data do recebimento da ordem de entrega, ou instrumento equivalente. Salvo se houver pedido formal de prorrogação deste, devidamente justificado pela licitante/contratada e acatado pela Secretaria demandante.</w:t>
      </w:r>
    </w:p>
    <w:p w14:paraId="572ECDFC">
      <w:pPr>
        <w:autoSpaceDE w:val="0"/>
        <w:jc w:val="both"/>
        <w:rPr>
          <w:rStyle w:val="207"/>
        </w:rPr>
      </w:pPr>
    </w:p>
    <w:p w14:paraId="39A129B8">
      <w:pPr>
        <w:autoSpaceDE w:val="0"/>
        <w:jc w:val="both"/>
        <w:rPr>
          <w:rStyle w:val="207"/>
        </w:rPr>
      </w:pPr>
      <w:r>
        <w:rPr>
          <w:rStyle w:val="207"/>
          <w:b/>
        </w:rPr>
        <w:t xml:space="preserve">18.1.1 </w:t>
      </w:r>
      <w:r>
        <w:rPr>
          <w:rStyle w:val="207"/>
        </w:rPr>
        <w:t xml:space="preserve">O fornecimento do referido objeto deverá atender as normas técnicas contidas nas especificações deste documento, a entrega será de forma fracionada, conforme demanda através de solicitação devidamente identificada local de entrega, nome da pessoa da Secretaria demandante que está solicitando com telefone para contato. </w:t>
      </w:r>
    </w:p>
    <w:p w14:paraId="76CA4445">
      <w:pPr>
        <w:autoSpaceDE w:val="0"/>
        <w:jc w:val="both"/>
        <w:rPr>
          <w:rStyle w:val="207"/>
        </w:rPr>
      </w:pPr>
    </w:p>
    <w:p w14:paraId="48A9EF65">
      <w:pPr>
        <w:autoSpaceDE w:val="0"/>
        <w:jc w:val="both"/>
        <w:rPr>
          <w:rStyle w:val="207"/>
        </w:rPr>
      </w:pPr>
      <w:r>
        <w:rPr>
          <w:rStyle w:val="207"/>
          <w:b/>
        </w:rPr>
        <w:t xml:space="preserve">18.1.2 </w:t>
      </w:r>
      <w:r>
        <w:rPr>
          <w:rStyle w:val="207"/>
        </w:rPr>
        <w:t>Havendo causa impeditiva para o cumprimento dos prazos, a CONTRATADA deverá apresentar justificativa por escrito ao fiscal do contrato, indicando o prazo necessário, que por sua vez analisará e tomará as necessárias providências para a aceitação ou não das justificativas apresentadas.</w:t>
      </w:r>
    </w:p>
    <w:p w14:paraId="3A51D7EC">
      <w:pPr>
        <w:autoSpaceDE w:val="0"/>
        <w:jc w:val="both"/>
      </w:pPr>
    </w:p>
    <w:p w14:paraId="70D55797">
      <w:pPr>
        <w:autoSpaceDE w:val="0"/>
        <w:jc w:val="both"/>
      </w:pPr>
      <w:r>
        <w:rPr>
          <w:rStyle w:val="207"/>
          <w:b/>
        </w:rPr>
        <w:t>18.2</w:t>
      </w:r>
      <w:r>
        <w:rPr>
          <w:rStyle w:val="207"/>
        </w:rPr>
        <w:t xml:space="preserve"> Os produtos serão recebidos de forma provisória e no prazo de até 5 (cinco) dias úteis, o responsável pelo acompanhamento e fiscalização do contrato, verificará sua conformidade com as especificações constantes do edital incluindo todos seus anexos e a proposta apresentada pela contratada;</w:t>
      </w:r>
    </w:p>
    <w:p w14:paraId="438E3A69">
      <w:pPr>
        <w:autoSpaceDE w:val="0"/>
        <w:jc w:val="both"/>
      </w:pPr>
    </w:p>
    <w:p w14:paraId="4263A00B">
      <w:pPr>
        <w:autoSpaceDE w:val="0"/>
        <w:jc w:val="both"/>
      </w:pPr>
      <w:r>
        <w:rPr>
          <w:rStyle w:val="207"/>
          <w:b/>
        </w:rPr>
        <w:t>18.3</w:t>
      </w:r>
      <w:r>
        <w:rPr>
          <w:rStyle w:val="207"/>
        </w:rPr>
        <w:t xml:space="preserve"> O recebimento provisório dos materiais não implica a aceitação definitiva deles;</w:t>
      </w:r>
    </w:p>
    <w:p w14:paraId="02FF8DEE">
      <w:pPr>
        <w:autoSpaceDE w:val="0"/>
        <w:jc w:val="both"/>
      </w:pPr>
    </w:p>
    <w:p w14:paraId="20F4A553">
      <w:pPr>
        <w:autoSpaceDE w:val="0"/>
        <w:jc w:val="both"/>
      </w:pPr>
      <w:r>
        <w:rPr>
          <w:rStyle w:val="207"/>
          <w:b/>
        </w:rPr>
        <w:t>18.4</w:t>
      </w:r>
      <w:r>
        <w:rPr>
          <w:rStyle w:val="207"/>
        </w:rPr>
        <w:t xml:space="preserve"> A atestação final de conformidade do fornecimento cabe à Secretaria Municipal de mobilidade urbana - SEMOB;</w:t>
      </w:r>
    </w:p>
    <w:p w14:paraId="64772E07">
      <w:pPr>
        <w:autoSpaceDE w:val="0"/>
        <w:jc w:val="both"/>
      </w:pPr>
    </w:p>
    <w:p w14:paraId="4B2DC152">
      <w:pPr>
        <w:autoSpaceDE w:val="0"/>
        <w:jc w:val="both"/>
      </w:pPr>
      <w:r>
        <w:rPr>
          <w:rStyle w:val="207"/>
          <w:b/>
        </w:rPr>
        <w:t>18.5</w:t>
      </w:r>
      <w:r>
        <w:rPr>
          <w:rStyle w:val="207"/>
        </w:rPr>
        <w:t xml:space="preserve"> Caso os itens estejam em desacordo com as especificações exigidas no Termo de Referência ou apresentarem vício, serão recusados e devolvidos parcial ou totalmente, conforme o caso, mediante Termo de Recusa, ficando a CONTRATADA obrigada a substituí-los no prazo de 5 (cinco) dias úteis, contados do recebimento da notificação, sem ônus para o contratante, sob pena de incorrer em atraso quanto ao prazo de execução, salvo quando justificado a necessidade de prazo maior pela licitante/contratada, sem prejuízo para o disposto nos artigos 441 a 446 do Código Civil;</w:t>
      </w:r>
    </w:p>
    <w:p w14:paraId="355E4D84">
      <w:pPr>
        <w:autoSpaceDE w:val="0"/>
        <w:jc w:val="both"/>
      </w:pPr>
    </w:p>
    <w:p w14:paraId="7DD09BEA">
      <w:pPr>
        <w:autoSpaceDE w:val="0"/>
        <w:jc w:val="both"/>
      </w:pPr>
      <w:r>
        <w:rPr>
          <w:rStyle w:val="207"/>
          <w:b/>
        </w:rPr>
        <w:t>18.6</w:t>
      </w:r>
      <w:r>
        <w:rPr>
          <w:rStyle w:val="207"/>
        </w:rPr>
        <w:t xml:space="preserve"> Somente após a verificação do enquadramento dos produtos com as especificações definidas no Termo de Referência, dar-se-á o recebimento definitivo por servidor responsável, no prazo máximo de 05 (cinco) dias úteis a contar do recebimento provisório, após a verificação da conformidade com as especificações e demais exigências estabelecidas nesta contratação, atestando no documento de entrega, o recebimento em condições satisfatórias, em termos de quantidade e qualidade, conforme o inciso II, alínea b, do art. 140 da Lei 14.133/2021;</w:t>
      </w:r>
    </w:p>
    <w:p w14:paraId="46FA4D7A">
      <w:pPr>
        <w:autoSpaceDE w:val="0"/>
        <w:jc w:val="both"/>
      </w:pPr>
    </w:p>
    <w:p w14:paraId="0B7B29B3">
      <w:pPr>
        <w:autoSpaceDE w:val="0"/>
        <w:jc w:val="both"/>
      </w:pPr>
      <w:r>
        <w:rPr>
          <w:rStyle w:val="207"/>
          <w:b/>
        </w:rPr>
        <w:t>18.7</w:t>
      </w:r>
      <w:r>
        <w:rPr>
          <w:rStyle w:val="207"/>
        </w:rPr>
        <w:t xml:space="preserve"> Será recusado material, alterado, adulterado, avariado, corrompido, fraudado, bem como aquele em desacordo com as normas regulamentares de fabricação, distribuição e apresentação;</w:t>
      </w:r>
    </w:p>
    <w:p w14:paraId="0EFB6C7B">
      <w:pPr>
        <w:autoSpaceDE w:val="0"/>
        <w:jc w:val="both"/>
      </w:pPr>
    </w:p>
    <w:p w14:paraId="5E7D63DA">
      <w:pPr>
        <w:autoSpaceDE w:val="0"/>
        <w:jc w:val="both"/>
      </w:pPr>
      <w:r>
        <w:rPr>
          <w:rStyle w:val="207"/>
          <w:b/>
        </w:rPr>
        <w:t>18.8</w:t>
      </w:r>
      <w:r>
        <w:rPr>
          <w:rStyle w:val="207"/>
        </w:rPr>
        <w:t xml:space="preserve"> O recebimento definitivo não exclui a responsabilidade da CONTRATADA pelo perfeito estado do produto fornecido, cabendo-lhe sanar quaisquer irregularidades detectadas quando da sua utilização;</w:t>
      </w:r>
    </w:p>
    <w:p w14:paraId="0B6C92BE">
      <w:pPr>
        <w:autoSpaceDE w:val="0"/>
        <w:jc w:val="both"/>
      </w:pPr>
    </w:p>
    <w:p w14:paraId="5F462FC1">
      <w:pPr>
        <w:autoSpaceDE w:val="0"/>
        <w:jc w:val="both"/>
      </w:pPr>
      <w:r>
        <w:rPr>
          <w:rStyle w:val="207"/>
          <w:b/>
        </w:rPr>
        <w:t>18.9</w:t>
      </w:r>
      <w:r>
        <w:rPr>
          <w:rStyle w:val="207"/>
        </w:rPr>
        <w:t xml:space="preserve"> A Administração poderá solicitar testes dos produtos junto aos seus fabricantes, para verificar a legitimidade do produto. A recusa da CONTRATADA a substituir os produtos reprovados nos testes será considerada descumprimento contratual, sujeitando a mesma à aplicação da penalidade.</w:t>
      </w:r>
      <w:r>
        <w:t xml:space="preserve"> </w:t>
      </w:r>
    </w:p>
    <w:p w14:paraId="5EF09D36">
      <w:pPr>
        <w:autoSpaceDE w:val="0"/>
        <w:jc w:val="both"/>
      </w:pPr>
      <w:r>
        <w:rPr>
          <w:rStyle w:val="207"/>
          <w:b/>
        </w:rPr>
        <w:t>18.11</w:t>
      </w:r>
      <w:r>
        <w:rPr>
          <w:rStyle w:val="207"/>
        </w:rPr>
        <w:t xml:space="preserve"> Os materiais deverão ser entregues acompanhados de documento fiscal, com as mesmas condições indicadas na proposta de preço vencedora do certame, quanto à marca/fabricante (quando for o caso), validade (quando for o caso), garantia (quando for o caso), quantidade, qualidade e autenticidade (quando for o caso), respeitando rigorosamente as especificações deste TR;</w:t>
      </w:r>
    </w:p>
    <w:p w14:paraId="4FCC19DA">
      <w:pPr>
        <w:autoSpaceDE w:val="0"/>
        <w:jc w:val="both"/>
      </w:pPr>
    </w:p>
    <w:p w14:paraId="640895FD">
      <w:pPr>
        <w:autoSpaceDE w:val="0"/>
        <w:jc w:val="both"/>
      </w:pPr>
      <w:r>
        <w:rPr>
          <w:rStyle w:val="207"/>
          <w:b/>
        </w:rPr>
        <w:t>18.12</w:t>
      </w:r>
      <w:r>
        <w:rPr>
          <w:rStyle w:val="207"/>
        </w:rPr>
        <w:t xml:space="preserve"> Em caso de algum tipo de irregularidade verificada, o produto será devolvido, ficando a retirada do mesmo e o custo do transporte por conta da CONTRATADA, sem prejuízo da aplicação das penalidades cabíveis;</w:t>
      </w:r>
    </w:p>
    <w:p w14:paraId="386EE3ED">
      <w:pPr>
        <w:autoSpaceDE w:val="0"/>
        <w:jc w:val="both"/>
      </w:pPr>
    </w:p>
    <w:p w14:paraId="112ACCD9">
      <w:pPr>
        <w:autoSpaceDE w:val="0"/>
        <w:jc w:val="both"/>
        <w:rPr>
          <w:rStyle w:val="207"/>
        </w:rPr>
      </w:pPr>
      <w:r>
        <w:rPr>
          <w:rStyle w:val="207"/>
          <w:b/>
        </w:rPr>
        <w:t>18.13</w:t>
      </w:r>
      <w:r>
        <w:rPr>
          <w:rStyle w:val="207"/>
        </w:rPr>
        <w:t xml:space="preserve"> A CONTRATADA deverá atentar ao fiel cumprimento das especificações exigidas, sendo recusado item que estiver com alguma característica diferente das especificações contidas neste TR;</w:t>
      </w:r>
    </w:p>
    <w:p w14:paraId="32015AD4">
      <w:pPr>
        <w:autoSpaceDE w:val="0"/>
        <w:jc w:val="both"/>
        <w:rPr>
          <w:rStyle w:val="207"/>
        </w:rPr>
      </w:pPr>
    </w:p>
    <w:p w14:paraId="7906411E">
      <w:pPr>
        <w:autoSpaceDE w:val="0"/>
        <w:jc w:val="both"/>
        <w:rPr>
          <w:rStyle w:val="207"/>
        </w:rPr>
      </w:pPr>
      <w:r>
        <w:rPr>
          <w:rStyle w:val="207"/>
          <w:b/>
        </w:rPr>
        <w:t>18.14</w:t>
      </w:r>
      <w:r>
        <w:rPr>
          <w:rStyle w:val="207"/>
        </w:rPr>
        <w:t xml:space="preserve"> Se a substituição dos produtos entregues em desconformidade não for realizada no prazo estipulado, a contratada estará sujeita às sanções previstas no Edital, na Minuta do Contrato e na Lei vigente.</w:t>
      </w:r>
    </w:p>
    <w:p w14:paraId="7FFD0E63">
      <w:pPr>
        <w:autoSpaceDE w:val="0"/>
        <w:jc w:val="both"/>
        <w:rPr>
          <w:rStyle w:val="207"/>
        </w:rPr>
      </w:pPr>
    </w:p>
    <w:p w14:paraId="2A1DDAC9">
      <w:pPr>
        <w:autoSpaceDE w:val="0"/>
        <w:jc w:val="both"/>
        <w:rPr>
          <w:rStyle w:val="207"/>
        </w:rPr>
      </w:pPr>
      <w:r>
        <w:rPr>
          <w:rStyle w:val="207"/>
          <w:b/>
        </w:rPr>
        <w:t>18.15</w:t>
      </w:r>
      <w:r>
        <w:rPr>
          <w:rStyle w:val="207"/>
        </w:rPr>
        <w:t xml:space="preserve"> Caso seja comprovado que os produtos entregues não estejam de acordo com as especificações do Edital, a fornecedora deverá ressarcir todos os custos com perícia à Administração, bem como os prejuízos e danos eventualmente causados à Administração Pública.</w:t>
      </w:r>
    </w:p>
    <w:p w14:paraId="565F1D5F">
      <w:pPr>
        <w:autoSpaceDE w:val="0"/>
        <w:jc w:val="both"/>
      </w:pPr>
    </w:p>
    <w:p w14:paraId="19F6A2E0">
      <w:pPr>
        <w:pStyle w:val="2"/>
        <w:autoSpaceDE w:val="0"/>
        <w:spacing w:before="0" w:after="0"/>
        <w:rPr>
          <w:rFonts w:ascii="Arial" w:hAnsi="Arial" w:eastAsia="SimSun" w:cs="Arial"/>
          <w:b/>
          <w:bCs/>
          <w:color w:val="000000" w:themeColor="text1"/>
          <w:sz w:val="22"/>
          <w:szCs w:val="22"/>
          <w14:textFill>
            <w14:solidFill>
              <w14:schemeClr w14:val="tx1"/>
            </w14:solidFill>
          </w14:textFill>
        </w:rPr>
      </w:pPr>
      <w:bookmarkStart w:id="23" w:name="__RefHeading___Toc190782026"/>
      <w:r>
        <w:rPr>
          <w:rFonts w:ascii="Arial" w:hAnsi="Arial" w:eastAsia="SimSun" w:cs="Arial"/>
          <w:b/>
          <w:bCs/>
          <w:color w:val="000000" w:themeColor="text1"/>
          <w:sz w:val="22"/>
          <w:szCs w:val="22"/>
          <w14:textFill>
            <w14:solidFill>
              <w14:schemeClr w14:val="tx1"/>
            </w14:solidFill>
          </w14:textFill>
        </w:rPr>
        <w:t>19. DA DOTAÇÃO ORÇAMENTÁRIA:</w:t>
      </w:r>
      <w:bookmarkEnd w:id="23"/>
      <w:r>
        <w:rPr>
          <w:rFonts w:ascii="Arial" w:hAnsi="Arial" w:eastAsia="SimSun" w:cs="Arial"/>
          <w:b/>
          <w:bCs/>
          <w:color w:val="000000" w:themeColor="text1"/>
          <w:sz w:val="22"/>
          <w:szCs w:val="22"/>
          <w14:textFill>
            <w14:solidFill>
              <w14:schemeClr w14:val="tx1"/>
            </w14:solidFill>
          </w14:textFill>
        </w:rPr>
        <w:t xml:space="preserve"> </w:t>
      </w:r>
    </w:p>
    <w:p w14:paraId="31308D66">
      <w:pPr>
        <w:autoSpaceDE w:val="0"/>
      </w:pPr>
    </w:p>
    <w:tbl>
      <w:tblPr>
        <w:tblStyle w:val="12"/>
        <w:tblW w:w="0" w:type="auto"/>
        <w:tblInd w:w="-15"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3679"/>
        <w:gridCol w:w="5766"/>
      </w:tblGrid>
      <w:tr w14:paraId="4C912784">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9199" w:type="dxa"/>
            <w:gridSpan w:val="2"/>
          </w:tcPr>
          <w:p w14:paraId="2EAD61E4">
            <w:pPr>
              <w:widowControl w:val="0"/>
              <w:jc w:val="center"/>
              <w:rPr>
                <w:b/>
              </w:rPr>
            </w:pPr>
            <w:r>
              <w:rPr>
                <w:b/>
              </w:rPr>
              <w:t>SECRETARIA MUNICIPAL DE TRANSPORTE E TRÂNSITO – PREVISÃO PARA ESTA DESPESA 2025</w:t>
            </w:r>
          </w:p>
        </w:tc>
      </w:tr>
      <w:tr w14:paraId="7538C52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77A5DBED">
            <w:pPr>
              <w:widowControl w:val="0"/>
            </w:pPr>
            <w:r>
              <w:t>Órgão</w:t>
            </w:r>
          </w:p>
        </w:tc>
        <w:tc>
          <w:tcPr>
            <w:tcW w:w="0" w:type="auto"/>
          </w:tcPr>
          <w:p w14:paraId="30F2FF4C">
            <w:pPr>
              <w:widowControl w:val="0"/>
            </w:pPr>
            <w:r>
              <w:t>02 – Prefeitura Municipal de Rondonópolis</w:t>
            </w:r>
          </w:p>
        </w:tc>
      </w:tr>
      <w:tr w14:paraId="41F02BC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1DF11C87">
            <w:pPr>
              <w:widowControl w:val="0"/>
            </w:pPr>
            <w:r>
              <w:t>Unidade</w:t>
            </w:r>
          </w:p>
        </w:tc>
        <w:tc>
          <w:tcPr>
            <w:tcW w:w="0" w:type="auto"/>
          </w:tcPr>
          <w:p w14:paraId="45E01E1D">
            <w:pPr>
              <w:widowControl w:val="0"/>
            </w:pPr>
            <w:r>
              <w:t>006 – Secretaria Municipal de Transporte e Trânsito</w:t>
            </w:r>
          </w:p>
        </w:tc>
      </w:tr>
      <w:tr w14:paraId="203DD9FE">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35CC6B0D">
            <w:pPr>
              <w:widowControl w:val="0"/>
            </w:pPr>
            <w:r>
              <w:t xml:space="preserve">Funcional Programática </w:t>
            </w:r>
          </w:p>
        </w:tc>
        <w:tc>
          <w:tcPr>
            <w:tcW w:w="0" w:type="auto"/>
          </w:tcPr>
          <w:p w14:paraId="7E33B1ED">
            <w:pPr>
              <w:widowControl w:val="0"/>
            </w:pPr>
            <w:r>
              <w:t xml:space="preserve">26.451.2105.2096 - SINALIZAÇÃO HORIZONTAL E VERTICAL  </w:t>
            </w:r>
          </w:p>
        </w:tc>
      </w:tr>
      <w:tr w14:paraId="4E383BAA">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7FE0B9B7">
            <w:pPr>
              <w:widowControl w:val="0"/>
            </w:pPr>
            <w:r>
              <w:t>Elemento de Despesa</w:t>
            </w:r>
          </w:p>
        </w:tc>
        <w:tc>
          <w:tcPr>
            <w:tcW w:w="0" w:type="auto"/>
          </w:tcPr>
          <w:p w14:paraId="6B419684">
            <w:pPr>
              <w:widowControl w:val="0"/>
            </w:pPr>
            <w:r>
              <w:t>3.3.90.39 – Outros serviços de Terceiros – Pessoa Jurídica</w:t>
            </w:r>
          </w:p>
        </w:tc>
      </w:tr>
      <w:tr w14:paraId="279867E3">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5E55D062">
            <w:pPr>
              <w:widowControl w:val="0"/>
            </w:pPr>
            <w:r>
              <w:t>Previsão para esta Despesa</w:t>
            </w:r>
          </w:p>
        </w:tc>
        <w:tc>
          <w:tcPr>
            <w:tcW w:w="0" w:type="auto"/>
          </w:tcPr>
          <w:p w14:paraId="1D282176">
            <w:r>
              <w:t>2.714.580,11</w:t>
            </w:r>
          </w:p>
        </w:tc>
      </w:tr>
      <w:tr w14:paraId="54278F6F">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1CD635E6">
            <w:pPr>
              <w:widowControl w:val="0"/>
            </w:pPr>
            <w:r>
              <w:t xml:space="preserve">Reduzido </w:t>
            </w:r>
          </w:p>
        </w:tc>
        <w:tc>
          <w:tcPr>
            <w:tcW w:w="0" w:type="auto"/>
          </w:tcPr>
          <w:p w14:paraId="60DE8880">
            <w:pPr>
              <w:widowControl w:val="0"/>
            </w:pPr>
            <w:r>
              <w:t>112</w:t>
            </w:r>
          </w:p>
        </w:tc>
      </w:tr>
      <w:tr w14:paraId="4F216972">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20" w:type="dxa"/>
          </w:tcPr>
          <w:p w14:paraId="0CB6759C">
            <w:pPr>
              <w:widowControl w:val="0"/>
            </w:pPr>
            <w:r>
              <w:t xml:space="preserve">Fonte de Recursos </w:t>
            </w:r>
          </w:p>
        </w:tc>
        <w:tc>
          <w:tcPr>
            <w:tcW w:w="0" w:type="auto"/>
          </w:tcPr>
          <w:p w14:paraId="4ECAA4CF">
            <w:pPr>
              <w:widowControl w:val="0"/>
            </w:pPr>
            <w:r>
              <w:t>1.501.0000000</w:t>
            </w:r>
          </w:p>
        </w:tc>
      </w:tr>
    </w:tbl>
    <w:p w14:paraId="4FD728DC">
      <w:pPr>
        <w:jc w:val="both"/>
        <w:rPr>
          <w:rFonts w:eastAsia="SimSun"/>
          <w:b/>
          <w:color w:val="231F20"/>
        </w:rPr>
      </w:pPr>
    </w:p>
    <w:tbl>
      <w:tblPr>
        <w:tblStyle w:val="12"/>
        <w:tblW w:w="0" w:type="auto"/>
        <w:tblInd w:w="-15"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3693"/>
        <w:gridCol w:w="5752"/>
      </w:tblGrid>
      <w:tr w14:paraId="26CA30D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9199" w:type="dxa"/>
            <w:gridSpan w:val="2"/>
          </w:tcPr>
          <w:p w14:paraId="0C474FB9">
            <w:pPr>
              <w:widowControl w:val="0"/>
              <w:jc w:val="center"/>
              <w:rPr>
                <w:b/>
              </w:rPr>
            </w:pPr>
            <w:r>
              <w:rPr>
                <w:b/>
              </w:rPr>
              <w:t>SECRETARIA MUNICIPAL DE TRANSPORTE E TRÂNSITO PREVISÃO PARA ESTA DESPESA 2026</w:t>
            </w:r>
          </w:p>
        </w:tc>
      </w:tr>
      <w:tr w14:paraId="45615074">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35C090A2">
            <w:pPr>
              <w:widowControl w:val="0"/>
            </w:pPr>
            <w:r>
              <w:t>Órgão</w:t>
            </w:r>
          </w:p>
        </w:tc>
        <w:tc>
          <w:tcPr>
            <w:tcW w:w="0" w:type="auto"/>
          </w:tcPr>
          <w:p w14:paraId="3779593D">
            <w:pPr>
              <w:widowControl w:val="0"/>
            </w:pPr>
            <w:r>
              <w:t>02 – Prefeitura Municipal de Rondonópolis</w:t>
            </w:r>
          </w:p>
        </w:tc>
      </w:tr>
      <w:tr w14:paraId="32C933B5">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41583D12">
            <w:pPr>
              <w:widowControl w:val="0"/>
            </w:pPr>
            <w:r>
              <w:t>Unidade</w:t>
            </w:r>
          </w:p>
        </w:tc>
        <w:tc>
          <w:tcPr>
            <w:tcW w:w="0" w:type="auto"/>
          </w:tcPr>
          <w:p w14:paraId="712BA797">
            <w:pPr>
              <w:widowControl w:val="0"/>
            </w:pPr>
            <w:r>
              <w:t>006 – Secretaria Municipal de Transporte e Trânsito</w:t>
            </w:r>
          </w:p>
        </w:tc>
      </w:tr>
      <w:tr w14:paraId="288F71ED">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6BD1774D">
            <w:pPr>
              <w:widowControl w:val="0"/>
            </w:pPr>
            <w:r>
              <w:t xml:space="preserve">Funcional Programática </w:t>
            </w:r>
          </w:p>
        </w:tc>
        <w:tc>
          <w:tcPr>
            <w:tcW w:w="0" w:type="auto"/>
          </w:tcPr>
          <w:p w14:paraId="5DDAA8ED">
            <w:pPr>
              <w:widowControl w:val="0"/>
            </w:pPr>
            <w:r>
              <w:t xml:space="preserve">26.451.2105.2096 - SINALIZAÇÃO HORIZONTAL E VERTICAL  </w:t>
            </w:r>
          </w:p>
        </w:tc>
      </w:tr>
      <w:tr w14:paraId="7D1FD9BA">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2212652B">
            <w:pPr>
              <w:widowControl w:val="0"/>
            </w:pPr>
            <w:r>
              <w:t>Elemento de Despesa</w:t>
            </w:r>
          </w:p>
        </w:tc>
        <w:tc>
          <w:tcPr>
            <w:tcW w:w="0" w:type="auto"/>
          </w:tcPr>
          <w:p w14:paraId="36BFF4D1">
            <w:pPr>
              <w:widowControl w:val="0"/>
            </w:pPr>
            <w:r>
              <w:t>3.3.90.39 – Outros serviços de Terceiros – Pessoa Jurídica</w:t>
            </w:r>
          </w:p>
        </w:tc>
      </w:tr>
      <w:tr w14:paraId="4751F544">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49F0B2AD">
            <w:pPr>
              <w:widowControl w:val="0"/>
            </w:pPr>
            <w:r>
              <w:t>Previsão para esta Despesa</w:t>
            </w:r>
          </w:p>
        </w:tc>
        <w:tc>
          <w:tcPr>
            <w:tcW w:w="0" w:type="auto"/>
          </w:tcPr>
          <w:p w14:paraId="3203654C">
            <w:pPr>
              <w:widowControl w:val="0"/>
              <w:rPr>
                <w:highlight w:val="yellow"/>
              </w:rPr>
            </w:pPr>
            <w:r>
              <w:t>12.654.174,48</w:t>
            </w:r>
          </w:p>
        </w:tc>
      </w:tr>
      <w:tr w14:paraId="55FA3E4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2E3B17AF">
            <w:pPr>
              <w:widowControl w:val="0"/>
            </w:pPr>
            <w:r>
              <w:t xml:space="preserve">Reduzido </w:t>
            </w:r>
          </w:p>
        </w:tc>
        <w:tc>
          <w:tcPr>
            <w:tcW w:w="0" w:type="auto"/>
          </w:tcPr>
          <w:p w14:paraId="2C085038">
            <w:pPr>
              <w:widowControl w:val="0"/>
            </w:pPr>
            <w:r>
              <w:t>112</w:t>
            </w:r>
          </w:p>
        </w:tc>
      </w:tr>
      <w:tr w14:paraId="7AB00F9A">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3737" w:type="dxa"/>
          </w:tcPr>
          <w:p w14:paraId="7C34CE29">
            <w:pPr>
              <w:widowControl w:val="0"/>
            </w:pPr>
            <w:r>
              <w:t xml:space="preserve">Fonte de Recursos </w:t>
            </w:r>
          </w:p>
        </w:tc>
        <w:tc>
          <w:tcPr>
            <w:tcW w:w="0" w:type="auto"/>
          </w:tcPr>
          <w:p w14:paraId="10D5F1F5">
            <w:pPr>
              <w:widowControl w:val="0"/>
            </w:pPr>
            <w:r>
              <w:t>1.501.0000000</w:t>
            </w:r>
          </w:p>
        </w:tc>
      </w:tr>
    </w:tbl>
    <w:p w14:paraId="4F5391B6">
      <w:pPr>
        <w:jc w:val="both"/>
        <w:rPr>
          <w:rFonts w:eastAsia="SimSun"/>
          <w:b/>
          <w:color w:val="231F20"/>
        </w:rPr>
      </w:pPr>
    </w:p>
    <w:p w14:paraId="5409DC3E">
      <w:pPr>
        <w:jc w:val="both"/>
        <w:rPr>
          <w:rFonts w:eastAsia="SimSun"/>
          <w:b/>
          <w:color w:val="231F20"/>
        </w:rPr>
      </w:pPr>
    </w:p>
    <w:p w14:paraId="19530A4C">
      <w:pPr>
        <w:pStyle w:val="2"/>
        <w:autoSpaceDE w:val="0"/>
        <w:spacing w:before="0" w:after="0"/>
        <w:jc w:val="both"/>
        <w:rPr>
          <w:rFonts w:ascii="Arial" w:hAnsi="Arial" w:cs="Arial"/>
          <w:b/>
          <w:bCs/>
          <w:color w:val="auto"/>
          <w:sz w:val="24"/>
          <w:szCs w:val="24"/>
        </w:rPr>
      </w:pPr>
      <w:bookmarkStart w:id="24" w:name="__RefHeading___Toc190782027"/>
      <w:r>
        <w:rPr>
          <w:rFonts w:ascii="Arial" w:hAnsi="Arial" w:eastAsia="SimSun" w:cs="Arial"/>
          <w:b/>
          <w:bCs/>
          <w:color w:val="auto"/>
          <w:sz w:val="24"/>
          <w:szCs w:val="24"/>
        </w:rPr>
        <w:t>20. DAS OBRIGAÇÕES DA CONTRATANTE:</w:t>
      </w:r>
      <w:bookmarkEnd w:id="24"/>
      <w:r>
        <w:rPr>
          <w:rFonts w:ascii="Arial" w:hAnsi="Arial" w:eastAsia="SimSun" w:cs="Arial"/>
          <w:b/>
          <w:bCs/>
          <w:color w:val="auto"/>
          <w:sz w:val="24"/>
          <w:szCs w:val="24"/>
        </w:rPr>
        <w:t xml:space="preserve"> Constituem obrigações da Contratante, além das demais previstas no Termo Referencial: </w:t>
      </w:r>
    </w:p>
    <w:p w14:paraId="21BEBBEF">
      <w:pPr>
        <w:jc w:val="both"/>
      </w:pPr>
    </w:p>
    <w:p w14:paraId="2D3C8DC0">
      <w:pPr>
        <w:tabs>
          <w:tab w:val="left" w:pos="3514"/>
        </w:tabs>
        <w:jc w:val="both"/>
      </w:pPr>
      <w:r>
        <w:rPr>
          <w:b/>
          <w:bCs/>
        </w:rPr>
        <w:t>20.1-</w:t>
      </w:r>
      <w:r>
        <w:t xml:space="preserve"> Cumprir todos os compromissos financeiros assumidos com a Contratada, efetuando os pagamentos de acordo com as cláusulas do contrato;</w:t>
      </w:r>
    </w:p>
    <w:p w14:paraId="0716D4FF">
      <w:pPr>
        <w:tabs>
          <w:tab w:val="left" w:pos="3514"/>
        </w:tabs>
        <w:ind w:left="360"/>
        <w:jc w:val="both"/>
      </w:pPr>
    </w:p>
    <w:p w14:paraId="11F5F0BD">
      <w:pPr>
        <w:tabs>
          <w:tab w:val="left" w:pos="3514"/>
        </w:tabs>
        <w:jc w:val="both"/>
      </w:pPr>
      <w:r>
        <w:rPr>
          <w:b/>
          <w:bCs/>
        </w:rPr>
        <w:t>20.2-</w:t>
      </w:r>
      <w:r>
        <w:t xml:space="preserve"> Fornecer e colocar à disposição da Contratada todos os elementos e informações que se fizerem necessários ao efetivo cumprimento do objeto contratado;</w:t>
      </w:r>
    </w:p>
    <w:p w14:paraId="23213BAF">
      <w:pPr>
        <w:tabs>
          <w:tab w:val="left" w:pos="3514"/>
        </w:tabs>
        <w:ind w:left="360"/>
        <w:jc w:val="both"/>
      </w:pPr>
      <w:r>
        <w:t xml:space="preserve"> </w:t>
      </w:r>
    </w:p>
    <w:p w14:paraId="4CFB64D1">
      <w:pPr>
        <w:tabs>
          <w:tab w:val="left" w:pos="3514"/>
        </w:tabs>
        <w:jc w:val="both"/>
      </w:pPr>
      <w:r>
        <w:rPr>
          <w:b/>
          <w:bCs/>
        </w:rPr>
        <w:t>20.3-</w:t>
      </w:r>
      <w:r>
        <w:t xml:space="preserve"> Notificar, formal e tempestivamente, a Contratada sobre as irregularidades observadas no cumprimento do objeto;</w:t>
      </w:r>
    </w:p>
    <w:p w14:paraId="63578143">
      <w:pPr>
        <w:tabs>
          <w:tab w:val="left" w:pos="3514"/>
        </w:tabs>
        <w:ind w:left="360"/>
        <w:jc w:val="both"/>
      </w:pPr>
    </w:p>
    <w:p w14:paraId="2F06D14A">
      <w:pPr>
        <w:tabs>
          <w:tab w:val="left" w:pos="3514"/>
        </w:tabs>
        <w:jc w:val="both"/>
      </w:pPr>
      <w:r>
        <w:rPr>
          <w:b/>
          <w:bCs/>
        </w:rPr>
        <w:t>20.4</w:t>
      </w:r>
      <w:r>
        <w:t xml:space="preserve">- Notificar a Contratada, por escrito e com antecedência, sobre multas, penalidades e quaisquer débitos de sua responsabilidade; </w:t>
      </w:r>
    </w:p>
    <w:p w14:paraId="3397D794">
      <w:pPr>
        <w:tabs>
          <w:tab w:val="left" w:pos="3514"/>
        </w:tabs>
        <w:ind w:left="360"/>
        <w:jc w:val="both"/>
      </w:pPr>
    </w:p>
    <w:p w14:paraId="63361E7B">
      <w:pPr>
        <w:tabs>
          <w:tab w:val="left" w:pos="3514"/>
        </w:tabs>
        <w:jc w:val="both"/>
      </w:pPr>
      <w:r>
        <w:rPr>
          <w:b/>
          <w:bCs/>
        </w:rPr>
        <w:t>20.5-</w:t>
      </w:r>
      <w:r>
        <w:t xml:space="preserve"> Acompanhar a entrega/retirada dos bens/serviços efetuados pela Contratada, podendo intervir durante a sua entrega/prestação, para fins de ajustes ou suspensão do fornecimento; </w:t>
      </w:r>
    </w:p>
    <w:p w14:paraId="2E3C4D18">
      <w:pPr>
        <w:tabs>
          <w:tab w:val="left" w:pos="3514"/>
        </w:tabs>
        <w:ind w:left="360"/>
        <w:jc w:val="both"/>
      </w:pPr>
    </w:p>
    <w:p w14:paraId="5A666796">
      <w:pPr>
        <w:tabs>
          <w:tab w:val="left" w:pos="3514"/>
        </w:tabs>
        <w:jc w:val="both"/>
      </w:pPr>
      <w:r>
        <w:rPr>
          <w:b/>
          <w:bCs/>
        </w:rPr>
        <w:t>20.6-</w:t>
      </w:r>
      <w:r>
        <w:t xml:space="preserve"> Fiscalizar a execução do objeto contratual através de sua unidade competente que designará um representante para esse fim de fiscal do contrato, podendo, em decorrência, solicitar providências da Contratada, que atenderá ou justificará de imediato, e de tudo dará ciência à Prefeitura Municipal de Rondonópolis, em conformidade com o Artigo 6º, XXIII da Lei de Licitações 14.133/2021 e o Decreto Municipal 11.685/2023;</w:t>
      </w:r>
    </w:p>
    <w:p w14:paraId="25A0C57A">
      <w:pPr>
        <w:tabs>
          <w:tab w:val="left" w:pos="3514"/>
        </w:tabs>
        <w:ind w:left="360"/>
        <w:jc w:val="both"/>
      </w:pPr>
    </w:p>
    <w:p w14:paraId="23C4A6F3">
      <w:pPr>
        <w:tabs>
          <w:tab w:val="left" w:pos="3514"/>
        </w:tabs>
        <w:jc w:val="both"/>
      </w:pPr>
      <w:r>
        <w:rPr>
          <w:b/>
          <w:bCs/>
        </w:rPr>
        <w:t>20.7</w:t>
      </w:r>
      <w:r>
        <w:t>- O gestor do contrato Secretaria Municipal de mobilidade urbana - SEMOB irá nomear, através de Portaria Interna publicada no Diário Oficial do Município, os servidores responsáveis pelo acompanhamento e fiscalização da execução do objeto contratual, bem como, o pagamento da nota fiscal referente à aquisição/serviço realizado pela Contratada, será condicionado à apresentação do relatório dos fiscais do contrato, seguindo a Recomendação Técnica nº 21/2014;</w:t>
      </w:r>
    </w:p>
    <w:p w14:paraId="4A4572A5">
      <w:pPr>
        <w:tabs>
          <w:tab w:val="left" w:pos="3514"/>
        </w:tabs>
        <w:ind w:left="360"/>
        <w:jc w:val="both"/>
      </w:pPr>
    </w:p>
    <w:p w14:paraId="654C10E3">
      <w:pPr>
        <w:tabs>
          <w:tab w:val="left" w:pos="3514"/>
        </w:tabs>
        <w:jc w:val="both"/>
      </w:pPr>
      <w:r>
        <w:rPr>
          <w:b/>
          <w:bCs/>
        </w:rPr>
        <w:t>20.8</w:t>
      </w:r>
      <w:r>
        <w:t>- A fiscalização de que trata o subitem acima não exclui nem reduz a responsabilidade da Contratada pelos danos causados diretamente à Contratante ou a terceiros, decorrentes de sua culpa ou dolo na execução da contratação em conformidade com o Artigo 6º, XXIII da Lei de Licitações 14.133/2021 e o Decreto Municipal 11.685/2023;</w:t>
      </w:r>
    </w:p>
    <w:p w14:paraId="3230B25A">
      <w:pPr>
        <w:tabs>
          <w:tab w:val="left" w:pos="3514"/>
        </w:tabs>
        <w:ind w:left="360"/>
        <w:jc w:val="both"/>
      </w:pPr>
    </w:p>
    <w:p w14:paraId="1136F107">
      <w:pPr>
        <w:tabs>
          <w:tab w:val="left" w:pos="3514"/>
        </w:tabs>
        <w:jc w:val="both"/>
      </w:pPr>
      <w:r>
        <w:rPr>
          <w:b/>
          <w:bCs/>
        </w:rPr>
        <w:t>20.9</w:t>
      </w:r>
      <w:r>
        <w:t>- Aplicar as sanções administrativas contratuais pertinentes, em caso de inadimplemento; Rejeitar, no todo ou em parte, os materiais e ou equipamentos e ou serviços entregues e ou prestados em desacordo com o contrato;</w:t>
      </w:r>
    </w:p>
    <w:p w14:paraId="03C95437">
      <w:pPr>
        <w:ind w:left="284"/>
        <w:jc w:val="both"/>
      </w:pPr>
    </w:p>
    <w:p w14:paraId="5DB07E12">
      <w:pPr>
        <w:pStyle w:val="2"/>
        <w:autoSpaceDE w:val="0"/>
        <w:spacing w:before="0" w:after="0"/>
        <w:jc w:val="both"/>
        <w:rPr>
          <w:rFonts w:ascii="Arial" w:hAnsi="Arial" w:cs="Arial"/>
          <w:b/>
          <w:bCs/>
          <w:color w:val="000000" w:themeColor="text1"/>
          <w:sz w:val="24"/>
          <w:szCs w:val="24"/>
          <w14:textFill>
            <w14:solidFill>
              <w14:schemeClr w14:val="tx1"/>
            </w14:solidFill>
          </w14:textFill>
        </w:rPr>
      </w:pPr>
      <w:bookmarkStart w:id="25" w:name="__RefHeading___Toc190782028"/>
      <w:bookmarkEnd w:id="25"/>
      <w:r>
        <w:rPr>
          <w:rFonts w:ascii="Arial" w:hAnsi="Arial" w:eastAsia="SimSun" w:cs="Arial"/>
          <w:b/>
          <w:bCs/>
          <w:color w:val="000000" w:themeColor="text1"/>
          <w:sz w:val="24"/>
          <w:szCs w:val="24"/>
          <w14:textFill>
            <w14:solidFill>
              <w14:schemeClr w14:val="tx1"/>
            </w14:solidFill>
          </w14:textFill>
        </w:rPr>
        <w:t>21. DAS OBRIGAÇÕES E RESPONSABILIDADES DA CONTRATADA: Constituem obrigações da Contratada, além das demais previstas no Termo Referencial</w:t>
      </w:r>
    </w:p>
    <w:p w14:paraId="56E16C4D">
      <w:pPr>
        <w:ind w:left="284"/>
        <w:jc w:val="both"/>
        <w:rPr>
          <w:rFonts w:eastAsia="SimSun"/>
          <w:b/>
          <w:kern w:val="2"/>
        </w:rPr>
      </w:pPr>
    </w:p>
    <w:p w14:paraId="2104B82A">
      <w:pPr>
        <w:jc w:val="both"/>
      </w:pPr>
      <w:r>
        <w:rPr>
          <w:b/>
        </w:rPr>
        <w:t>21.1.</w:t>
      </w:r>
      <w:r>
        <w:t xml:space="preserve"> Cumprir o objeto da aquisição/contratação, entregando os bens/serviços especificados conforme disposições contidas no Termo Referencial, e, de modo geral, as Especificações e as Normas Técnicas vigentes, aquelas complementares e particulares e outras pertinentes aos serviços em licitação, constantes dos respectivos projetos, as instruções, recomendações e determinações da Fiscalização e, quando houver, da Supervisão e dos Órgãos Ambientais.</w:t>
      </w:r>
    </w:p>
    <w:p w14:paraId="4D19F634">
      <w:pPr>
        <w:ind w:left="284"/>
        <w:jc w:val="both"/>
      </w:pPr>
    </w:p>
    <w:p w14:paraId="780705A6">
      <w:pPr>
        <w:jc w:val="both"/>
      </w:pPr>
      <w:r>
        <w:rPr>
          <w:b/>
        </w:rPr>
        <w:t xml:space="preserve">21.2. </w:t>
      </w:r>
      <w:r>
        <w:t xml:space="preserve">Cumprir todas as Leis e Posturas Federais, Estaduais e Municipais pertinentes e responsabilizar-se por todos os prejuízos decorrentes de infrações a que houver dado causa;  </w:t>
      </w:r>
    </w:p>
    <w:p w14:paraId="4070AC90">
      <w:pPr>
        <w:ind w:left="284"/>
        <w:jc w:val="both"/>
      </w:pPr>
    </w:p>
    <w:p w14:paraId="3D98E282">
      <w:pPr>
        <w:jc w:val="both"/>
      </w:pPr>
      <w:r>
        <w:rPr>
          <w:b/>
        </w:rPr>
        <w:t>21.3.</w:t>
      </w:r>
      <w:r>
        <w:rPr>
          <w:i/>
          <w:iCs/>
        </w:rPr>
        <w:t xml:space="preserve"> </w:t>
      </w:r>
      <w:r>
        <w:t>Assumir, com exclusividade, todos os tributos, impostos e taxas que forem devidos em decorrência do objeto da aquisição/contratação e quaisquer outras despesas que se fizerem necessárias ao cumprimento do objeto pactuado, inclusive quanto ao transporte, carga e descarga, configuração, despesas com pessoal e apresentar os respectivos comprovantes quando solicitado pela Contratante;</w:t>
      </w:r>
    </w:p>
    <w:p w14:paraId="2D367908">
      <w:pPr>
        <w:ind w:left="284"/>
        <w:jc w:val="both"/>
      </w:pPr>
    </w:p>
    <w:p w14:paraId="1DCDFFA6">
      <w:pPr>
        <w:jc w:val="both"/>
      </w:pPr>
      <w:r>
        <w:rPr>
          <w:b/>
        </w:rPr>
        <w:t>21.4.</w:t>
      </w:r>
      <w:r>
        <w:t xml:space="preserve"> Aceitar, nas mesmas condições contratuais, os acréscimos ou supressões que se fizerem, no objeto deste instrumento de até 25% (vinte e cinco por cento) do valor inicial atualizado da aquisição/contratação;</w:t>
      </w:r>
    </w:p>
    <w:p w14:paraId="02D551AF">
      <w:pPr>
        <w:jc w:val="both"/>
      </w:pPr>
    </w:p>
    <w:p w14:paraId="4CAB59E6">
      <w:pPr>
        <w:tabs>
          <w:tab w:val="left" w:pos="3514"/>
        </w:tabs>
        <w:jc w:val="both"/>
      </w:pPr>
      <w:r>
        <w:rPr>
          <w:b/>
          <w:bCs/>
        </w:rPr>
        <w:t>21.5</w:t>
      </w:r>
      <w:r>
        <w:t xml:space="preserve">. Responder perante a Contratante e terceiros por eventuais prejuízos e danos decorrentes de sua demora ou de sua omissão, na condução do objeto deste instrumento sob a sua responsabilidade ou por erro relativo à sua execução; </w:t>
      </w:r>
    </w:p>
    <w:p w14:paraId="64A4B6A7">
      <w:pPr>
        <w:tabs>
          <w:tab w:val="left" w:pos="3514"/>
        </w:tabs>
        <w:ind w:left="360"/>
        <w:jc w:val="both"/>
      </w:pPr>
    </w:p>
    <w:p w14:paraId="1E001D4E">
      <w:pPr>
        <w:tabs>
          <w:tab w:val="left" w:pos="3514"/>
        </w:tabs>
        <w:jc w:val="both"/>
      </w:pPr>
      <w:r>
        <w:rPr>
          <w:b/>
          <w:bCs/>
        </w:rPr>
        <w:t xml:space="preserve">21.6. </w:t>
      </w:r>
      <w:r>
        <w:t xml:space="preserve">Responsabilizar-se por quaisquer ônus decorrentes de omissões ou erros na elaboração de estimativa de custos e que redundem em aumento de despesas para a Contratante; </w:t>
      </w:r>
    </w:p>
    <w:p w14:paraId="0570FDC0">
      <w:pPr>
        <w:tabs>
          <w:tab w:val="left" w:pos="3514"/>
        </w:tabs>
        <w:ind w:left="360"/>
        <w:jc w:val="both"/>
      </w:pPr>
    </w:p>
    <w:p w14:paraId="5AC35C01">
      <w:pPr>
        <w:tabs>
          <w:tab w:val="left" w:pos="3514"/>
        </w:tabs>
        <w:jc w:val="both"/>
      </w:pPr>
      <w:r>
        <w:rPr>
          <w:b/>
          <w:bCs/>
        </w:rPr>
        <w:t xml:space="preserve">21.7. </w:t>
      </w:r>
      <w:r>
        <w:t xml:space="preserve">Responsabilizar-se pelo ônus resultante de quaisquer ações, demandas, custos e despesas decorrentes de danos causados por culpa ou dolo de seus empregados, prepostos e/ou contratados, bem como se obrigar por quaisquer responsabilidades decorrentes de ações judiciais que lhe venham a ser atribuídas por força de Lei, relacionadas com o cumprimento da aquisição/contratação; </w:t>
      </w:r>
    </w:p>
    <w:p w14:paraId="13AD877B">
      <w:pPr>
        <w:tabs>
          <w:tab w:val="left" w:pos="3514"/>
        </w:tabs>
        <w:ind w:left="360"/>
        <w:jc w:val="both"/>
      </w:pPr>
    </w:p>
    <w:p w14:paraId="0333297E">
      <w:pPr>
        <w:tabs>
          <w:tab w:val="left" w:pos="3514"/>
        </w:tabs>
        <w:jc w:val="both"/>
      </w:pPr>
      <w:r>
        <w:rPr>
          <w:b/>
          <w:bCs/>
        </w:rPr>
        <w:t xml:space="preserve">21.8. </w:t>
      </w:r>
      <w:r>
        <w:rPr>
          <w:highlight w:val="yellow"/>
        </w:rPr>
        <w:t>Fica vedada a subcontratação total ou parcial do objeto da aquisição/contratação, a associação da empresa contratada com outrem, a cessão ou transferência total ou parcial, bem como a fusão, cisão ou incorporação sem autorização expressa da Contratante;</w:t>
      </w:r>
      <w:r>
        <w:t xml:space="preserve"> </w:t>
      </w:r>
    </w:p>
    <w:p w14:paraId="5CCB75E7">
      <w:pPr>
        <w:tabs>
          <w:tab w:val="left" w:pos="3514"/>
        </w:tabs>
        <w:jc w:val="both"/>
      </w:pPr>
    </w:p>
    <w:p w14:paraId="0477026E">
      <w:pPr>
        <w:tabs>
          <w:tab w:val="left" w:pos="3514"/>
        </w:tabs>
        <w:jc w:val="both"/>
      </w:pPr>
      <w:r>
        <w:rPr>
          <w:b/>
          <w:bCs/>
        </w:rPr>
        <w:t>21.9</w:t>
      </w:r>
      <w:r>
        <w:t xml:space="preserve">. Manter-se, durante toda a execução do contrato, em compatibilidade com todas as condições de habilitação e qualificação exigidas no processo licitatório; </w:t>
      </w:r>
    </w:p>
    <w:p w14:paraId="64A4E277">
      <w:pPr>
        <w:tabs>
          <w:tab w:val="left" w:pos="3514"/>
        </w:tabs>
        <w:ind w:left="360"/>
        <w:jc w:val="both"/>
      </w:pPr>
    </w:p>
    <w:p w14:paraId="2490EB63">
      <w:pPr>
        <w:tabs>
          <w:tab w:val="left" w:pos="3514"/>
        </w:tabs>
        <w:jc w:val="both"/>
      </w:pPr>
      <w:r>
        <w:rPr>
          <w:b/>
          <w:bCs/>
        </w:rPr>
        <w:t>21.10</w:t>
      </w:r>
      <w:r>
        <w:t xml:space="preserve">. Comunicar a Prefeitura Municipal de Rondonópolis, qualquer alteração às condições em que se encontrava no momento da aquisição/contratação do objeto, tais como: endereço, telefone, e-mail, dados bancários, responsável pela empresa, entre outras informações relevantes; </w:t>
      </w:r>
    </w:p>
    <w:p w14:paraId="66A30DFA">
      <w:pPr>
        <w:tabs>
          <w:tab w:val="left" w:pos="3514"/>
        </w:tabs>
        <w:ind w:left="360"/>
        <w:jc w:val="both"/>
      </w:pPr>
    </w:p>
    <w:p w14:paraId="185C27EF">
      <w:pPr>
        <w:tabs>
          <w:tab w:val="left" w:pos="3514"/>
        </w:tabs>
        <w:jc w:val="both"/>
      </w:pPr>
      <w:r>
        <w:rPr>
          <w:b/>
          <w:bCs/>
        </w:rPr>
        <w:t xml:space="preserve">21.11. </w:t>
      </w:r>
      <w:r>
        <w:rPr>
          <w:u w:val="single"/>
        </w:rPr>
        <w:t>A Contratada se obriga a permitir que a auditoria interna da Contratante por ela indicada, tenham acesso a todos os documentos fiscais e contábeis que digam respeito aos bens/serviços fornecidos/entregues/prestados à Contratante;</w:t>
      </w:r>
    </w:p>
    <w:p w14:paraId="2274B5D2">
      <w:pPr>
        <w:tabs>
          <w:tab w:val="left" w:pos="3514"/>
        </w:tabs>
        <w:ind w:left="360"/>
        <w:jc w:val="both"/>
      </w:pPr>
    </w:p>
    <w:p w14:paraId="72700364">
      <w:pPr>
        <w:tabs>
          <w:tab w:val="left" w:pos="3514"/>
        </w:tabs>
        <w:jc w:val="both"/>
      </w:pPr>
      <w:r>
        <w:rPr>
          <w:b/>
          <w:bCs/>
        </w:rPr>
        <w:t>21.12</w:t>
      </w:r>
      <w:r>
        <w:t xml:space="preserve">. Executar o fornecimento dentro dos padrões estabelecidos, de acordo com a especificação dos bens/serviços, responsabilizando-se por eventuais prejuízos decorrentes do descumprimento de condição estabelecida; </w:t>
      </w:r>
    </w:p>
    <w:p w14:paraId="4E3F05D1">
      <w:pPr>
        <w:tabs>
          <w:tab w:val="left" w:pos="3514"/>
        </w:tabs>
        <w:jc w:val="both"/>
      </w:pPr>
    </w:p>
    <w:p w14:paraId="62CF11BE">
      <w:pPr>
        <w:tabs>
          <w:tab w:val="left" w:pos="3514"/>
        </w:tabs>
        <w:jc w:val="both"/>
      </w:pPr>
      <w:r>
        <w:rPr>
          <w:b/>
          <w:bCs/>
        </w:rPr>
        <w:t xml:space="preserve">21.13. </w:t>
      </w:r>
      <w:r>
        <w:t xml:space="preserve">Cumprir com os prazos de entrega/retirada acordados junto à Secretaria Municipal de mobilidade urbana - SEMOB dos bens/serviços; realizar as entregas dos bens/serviços no endereço fornecido nesse Termo de Referência pela Secretaria; </w:t>
      </w:r>
    </w:p>
    <w:p w14:paraId="3CE898AA">
      <w:pPr>
        <w:tabs>
          <w:tab w:val="left" w:pos="3514"/>
        </w:tabs>
        <w:ind w:left="360"/>
        <w:jc w:val="both"/>
      </w:pPr>
    </w:p>
    <w:p w14:paraId="42358826">
      <w:pPr>
        <w:tabs>
          <w:tab w:val="left" w:pos="3514"/>
        </w:tabs>
        <w:jc w:val="both"/>
      </w:pPr>
      <w:r>
        <w:rPr>
          <w:b/>
          <w:bCs/>
        </w:rPr>
        <w:t xml:space="preserve">21.14. </w:t>
      </w:r>
      <w:r>
        <w:t xml:space="preserve">Os bens/serviços que se encontrarem em desconformidade com as condições exigidas, deverão ser substituídos num prazo de até 02 (dois) dias a partir da data da solicitação da substituição dos mesmos; </w:t>
      </w:r>
    </w:p>
    <w:p w14:paraId="1AB50435">
      <w:pPr>
        <w:tabs>
          <w:tab w:val="left" w:pos="3514"/>
        </w:tabs>
        <w:ind w:left="360"/>
        <w:jc w:val="both"/>
      </w:pPr>
    </w:p>
    <w:p w14:paraId="2D6F1609">
      <w:pPr>
        <w:tabs>
          <w:tab w:val="left" w:pos="3514"/>
        </w:tabs>
        <w:jc w:val="both"/>
      </w:pPr>
      <w:r>
        <w:rPr>
          <w:b/>
          <w:bCs/>
        </w:rPr>
        <w:t>21.15</w:t>
      </w:r>
      <w:r>
        <w:t>. Prestar esclarecimentos que forem solicitados pelo município de Rondonópolis através da Secretaria Municipal de mobilidade urbana - SEMOB, cujas reclamações se obriga a atender prontamente, bem como, oferecer condições para a mais ampla e completa fiscalização, durante a vigência do contrato a ser celebrado, bem como de seus aditivos</w:t>
      </w:r>
      <w:r>
        <w:rPr>
          <w:u w:val="single"/>
        </w:rPr>
        <w:t>, propiciando o acesso a toda documentações pertinentes aos fornecimentos dos bens/serviços, atendendo às observações e exigências apresentadas pela fiscalização;</w:t>
      </w:r>
    </w:p>
    <w:p w14:paraId="1FEF22A3">
      <w:pPr>
        <w:tabs>
          <w:tab w:val="left" w:pos="3514"/>
        </w:tabs>
        <w:jc w:val="both"/>
      </w:pPr>
      <w:r>
        <w:rPr>
          <w:b/>
          <w:bCs/>
        </w:rPr>
        <w:t>21.16</w:t>
      </w:r>
      <w:r>
        <w:t>. A Contratada se responsabilizará pela substituição dos bens/serviços entregues/prestados em que forem constatados defeitos de fabricação ou que se encontrarem em desacordo com as especificações constantes neste Termo Referencial;</w:t>
      </w:r>
    </w:p>
    <w:p w14:paraId="341087F4">
      <w:pPr>
        <w:tabs>
          <w:tab w:val="left" w:pos="3514"/>
        </w:tabs>
        <w:jc w:val="both"/>
      </w:pPr>
    </w:p>
    <w:p w14:paraId="793C7314">
      <w:pPr>
        <w:tabs>
          <w:tab w:val="left" w:pos="3514"/>
        </w:tabs>
        <w:jc w:val="both"/>
      </w:pPr>
      <w:r>
        <w:rPr>
          <w:b/>
        </w:rPr>
        <w:t>21.17.</w:t>
      </w:r>
      <w:r>
        <w:t xml:space="preserve"> Alocar profissionais altamente especializados para o desenvolvimento dos trabalhos. A qualquer tempo, a Fiscalização poderá solicitar a substituição de qualquer membro da equipe técnica da licitante vencedora, desde que entenda que seja benéfico ao desenvolvimento dos trabalhos. </w:t>
      </w:r>
    </w:p>
    <w:p w14:paraId="1F17C57F">
      <w:pPr>
        <w:tabs>
          <w:tab w:val="left" w:pos="3514"/>
        </w:tabs>
        <w:jc w:val="both"/>
      </w:pPr>
    </w:p>
    <w:p w14:paraId="6E005D18">
      <w:pPr>
        <w:tabs>
          <w:tab w:val="left" w:pos="567"/>
        </w:tabs>
        <w:jc w:val="both"/>
      </w:pPr>
      <w:r>
        <w:rPr>
          <w:b/>
        </w:rPr>
        <w:t>21.18.</w:t>
      </w:r>
      <w:r>
        <w:t xml:space="preserve">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1º de abril de 2021.</w:t>
      </w:r>
    </w:p>
    <w:p w14:paraId="1F005842">
      <w:pPr>
        <w:tabs>
          <w:tab w:val="left" w:pos="3514"/>
        </w:tabs>
        <w:jc w:val="both"/>
      </w:pPr>
    </w:p>
    <w:p w14:paraId="6B469D3D">
      <w:pPr>
        <w:tabs>
          <w:tab w:val="left" w:pos="567"/>
        </w:tabs>
        <w:jc w:val="both"/>
      </w:pPr>
      <w:r>
        <w:rPr>
          <w:b/>
        </w:rPr>
        <w:t>21.19.</w:t>
      </w:r>
      <w:r>
        <w:t xml:space="preserve"> Receber e dar o tratamento adequado a denúncias de discriminação, violência e assédio no ambiente de trabalho.</w:t>
      </w:r>
    </w:p>
    <w:p w14:paraId="0F0B0F05">
      <w:pPr>
        <w:jc w:val="both"/>
      </w:pPr>
    </w:p>
    <w:p w14:paraId="364BEEFC">
      <w:pPr>
        <w:pStyle w:val="2"/>
        <w:autoSpaceDE w:val="0"/>
        <w:spacing w:before="0" w:after="0"/>
        <w:rPr>
          <w:rFonts w:ascii="Arial" w:hAnsi="Arial" w:cs="Arial"/>
          <w:b/>
          <w:bCs/>
          <w:color w:val="000000" w:themeColor="text1"/>
          <w:sz w:val="24"/>
          <w:szCs w:val="24"/>
          <w14:textFill>
            <w14:solidFill>
              <w14:schemeClr w14:val="tx1"/>
            </w14:solidFill>
          </w14:textFill>
        </w:rPr>
      </w:pPr>
      <w:bookmarkStart w:id="26" w:name="__RefHeading___Toc190782029"/>
      <w:bookmarkEnd w:id="26"/>
      <w:r>
        <w:rPr>
          <w:rFonts w:ascii="Arial" w:hAnsi="Arial" w:eastAsia="SimSun" w:cs="Arial"/>
          <w:b/>
          <w:bCs/>
          <w:color w:val="000000" w:themeColor="text1"/>
          <w:sz w:val="24"/>
          <w:szCs w:val="24"/>
          <w14:textFill>
            <w14:solidFill>
              <w14:schemeClr w14:val="tx1"/>
            </w14:solidFill>
          </w14:textFill>
        </w:rPr>
        <w:t>22. DAS INFRAÇÕES ADMINISTRATIVAS E SANÇÕES:</w:t>
      </w:r>
    </w:p>
    <w:p w14:paraId="1A1C0DEB">
      <w:pPr>
        <w:jc w:val="both"/>
      </w:pPr>
      <w:bookmarkStart w:id="27" w:name="_Hlk114652595"/>
      <w:bookmarkEnd w:id="27"/>
    </w:p>
    <w:p w14:paraId="414EB814">
      <w:pPr>
        <w:tabs>
          <w:tab w:val="left" w:pos="3514"/>
        </w:tabs>
        <w:jc w:val="both"/>
      </w:pPr>
      <w:r>
        <w:rPr>
          <w:b/>
          <w:bCs/>
        </w:rPr>
        <w:t>22.1.</w:t>
      </w:r>
      <w:r>
        <w:t xml:space="preserve"> A aplicação de penalidade é de competência da Secretaria Municipal de mobilidade urbana - SEMOB - Sr. Thales Tatí Gonçalves Vicente, ressalvado o caso de Advertência;</w:t>
      </w:r>
    </w:p>
    <w:p w14:paraId="03F8AA97">
      <w:pPr>
        <w:tabs>
          <w:tab w:val="left" w:pos="3514"/>
        </w:tabs>
        <w:jc w:val="both"/>
      </w:pPr>
    </w:p>
    <w:p w14:paraId="75B515BB">
      <w:pPr>
        <w:tabs>
          <w:tab w:val="left" w:pos="3514"/>
        </w:tabs>
        <w:jc w:val="both"/>
      </w:pPr>
      <w:r>
        <w:rPr>
          <w:b/>
        </w:rPr>
        <w:t>22.2.</w:t>
      </w:r>
      <w:r>
        <w:t xml:space="preserve"> A Contratada ficará sujeita as seguintes penalidades, caso deixar de cumprir os prazos e demais obrigações assumidas, observado o contraditório e ampla defesa nos termos do artigo 6º, XXIII da Lei de Licitações 14.133/2021 e o Decreto Municipal 11.685/2023;</w:t>
      </w:r>
    </w:p>
    <w:p w14:paraId="3F0F8D96">
      <w:pPr>
        <w:tabs>
          <w:tab w:val="left" w:pos="3514"/>
        </w:tabs>
        <w:ind w:left="284" w:hanging="284"/>
        <w:jc w:val="both"/>
      </w:pPr>
    </w:p>
    <w:p w14:paraId="52B787A3">
      <w:pPr>
        <w:tabs>
          <w:tab w:val="left" w:pos="3514"/>
        </w:tabs>
        <w:jc w:val="both"/>
      </w:pPr>
      <w:r>
        <w:rPr>
          <w:b/>
          <w:bCs/>
        </w:rPr>
        <w:t>22.2.1</w:t>
      </w:r>
      <w:r>
        <w:t xml:space="preserve">. </w:t>
      </w:r>
      <w:r>
        <w:rPr>
          <w:b/>
        </w:rPr>
        <w:t>Advertências:</w:t>
      </w:r>
    </w:p>
    <w:p w14:paraId="65DB5161">
      <w:pPr>
        <w:tabs>
          <w:tab w:val="left" w:pos="3514"/>
        </w:tabs>
        <w:jc w:val="both"/>
      </w:pPr>
    </w:p>
    <w:p w14:paraId="29CDD5EC">
      <w:pPr>
        <w:tabs>
          <w:tab w:val="left" w:pos="3514"/>
        </w:tabs>
        <w:jc w:val="both"/>
      </w:pPr>
      <w:r>
        <w:t>a) Em qualquer hipótese de descumprimento do contrato;</w:t>
      </w:r>
    </w:p>
    <w:p w14:paraId="589496D9">
      <w:pPr>
        <w:tabs>
          <w:tab w:val="left" w:pos="3514"/>
        </w:tabs>
        <w:jc w:val="both"/>
      </w:pPr>
    </w:p>
    <w:p w14:paraId="576BF40C">
      <w:pPr>
        <w:tabs>
          <w:tab w:val="left" w:pos="3514"/>
        </w:tabs>
        <w:jc w:val="both"/>
      </w:pPr>
      <w:r>
        <w:t>b) A penalidade de advertência será aplicada pela administração do órgão recebedor do bem/serviço ou pelo fiscal do contrato. No documento de advertência deverá constar de forma detalhada a narrativa da infração;</w:t>
      </w:r>
    </w:p>
    <w:p w14:paraId="637E5BCE">
      <w:pPr>
        <w:tabs>
          <w:tab w:val="left" w:pos="3514"/>
        </w:tabs>
        <w:ind w:left="1134" w:hanging="283"/>
        <w:jc w:val="both"/>
      </w:pPr>
    </w:p>
    <w:p w14:paraId="0194D9D0">
      <w:pPr>
        <w:tabs>
          <w:tab w:val="left" w:pos="3514"/>
        </w:tabs>
        <w:jc w:val="both"/>
      </w:pPr>
      <w:r>
        <w:rPr>
          <w:b/>
          <w:bCs/>
        </w:rPr>
        <w:t>22.2.2</w:t>
      </w:r>
      <w:r>
        <w:t xml:space="preserve">. </w:t>
      </w:r>
      <w:r>
        <w:rPr>
          <w:b/>
        </w:rPr>
        <w:t>Multa de Mora:</w:t>
      </w:r>
    </w:p>
    <w:p w14:paraId="06739431">
      <w:pPr>
        <w:tabs>
          <w:tab w:val="left" w:pos="3514"/>
        </w:tabs>
        <w:jc w:val="both"/>
      </w:pPr>
    </w:p>
    <w:p w14:paraId="04B32640">
      <w:pPr>
        <w:tabs>
          <w:tab w:val="left" w:pos="3514"/>
        </w:tabs>
        <w:jc w:val="both"/>
      </w:pPr>
      <w:r>
        <w:t>a) A multa de mora será aplicada pelo gestor do contrato e terá cabimento nas seguintes hipóteses;</w:t>
      </w:r>
    </w:p>
    <w:p w14:paraId="3D6BF84D">
      <w:pPr>
        <w:tabs>
          <w:tab w:val="left" w:pos="3514"/>
        </w:tabs>
        <w:jc w:val="both"/>
      </w:pPr>
    </w:p>
    <w:p w14:paraId="11055173">
      <w:pPr>
        <w:tabs>
          <w:tab w:val="left" w:pos="3514"/>
        </w:tabs>
        <w:jc w:val="both"/>
      </w:pPr>
      <w:r>
        <w:t>b) Atraso na entrega e ou na troca de material/equipamento/serviço defeituosos: multa de 0,5% (meio por cento) do valor do contrato, por dia de atraso;</w:t>
      </w:r>
    </w:p>
    <w:p w14:paraId="30EAEE22">
      <w:pPr>
        <w:tabs>
          <w:tab w:val="left" w:pos="3514"/>
        </w:tabs>
        <w:jc w:val="both"/>
      </w:pPr>
    </w:p>
    <w:p w14:paraId="141264CC">
      <w:pPr>
        <w:tabs>
          <w:tab w:val="left" w:pos="3514"/>
        </w:tabs>
        <w:jc w:val="both"/>
      </w:pPr>
      <w:r>
        <w:t>c) O atraso injustificado na entrega/prestação dos material/equipamento/serviço por prazo superior a 10 (dez) dias, caracteriza inadimplemento do contrato, podendo a administração optar pela continuidade da multa moratória ou pela rescisão contratual;</w:t>
      </w:r>
    </w:p>
    <w:p w14:paraId="20B1AC8B">
      <w:pPr>
        <w:tabs>
          <w:tab w:val="left" w:pos="3514"/>
        </w:tabs>
        <w:jc w:val="both"/>
      </w:pPr>
    </w:p>
    <w:p w14:paraId="5B352071">
      <w:pPr>
        <w:tabs>
          <w:tab w:val="left" w:pos="3514"/>
        </w:tabs>
        <w:jc w:val="both"/>
      </w:pPr>
      <w:r>
        <w:t>d) No caso em que o atraso não exceder 10 (dez) dias, mas restar prejudicada a finalidade da contratação, também caracterizará inadimplemento do contrato;</w:t>
      </w:r>
    </w:p>
    <w:p w14:paraId="202A87FD">
      <w:pPr>
        <w:tabs>
          <w:tab w:val="left" w:pos="3514"/>
        </w:tabs>
        <w:jc w:val="both"/>
      </w:pPr>
    </w:p>
    <w:p w14:paraId="1AAFAED5">
      <w:pPr>
        <w:tabs>
          <w:tab w:val="left" w:pos="3514"/>
        </w:tabs>
        <w:jc w:val="both"/>
      </w:pPr>
      <w:r>
        <w:t>e) Multa no valor de 5% (cinco por cento) do valor total do contrato caso a entrega/prestação do objeto não seja feito no local e horário especificados pela Secretaria Municipal de mobilidade urbana - SEMOB;</w:t>
      </w:r>
    </w:p>
    <w:p w14:paraId="60D2E483">
      <w:pPr>
        <w:tabs>
          <w:tab w:val="left" w:pos="3514"/>
        </w:tabs>
        <w:jc w:val="both"/>
      </w:pPr>
    </w:p>
    <w:p w14:paraId="15956C34">
      <w:pPr>
        <w:tabs>
          <w:tab w:val="left" w:pos="3514"/>
        </w:tabs>
        <w:jc w:val="both"/>
      </w:pPr>
      <w:r>
        <w:rPr>
          <w:b/>
          <w:bCs/>
        </w:rPr>
        <w:t>22.2.3</w:t>
      </w:r>
      <w:r>
        <w:t xml:space="preserve">. </w:t>
      </w:r>
      <w:r>
        <w:rPr>
          <w:b/>
        </w:rPr>
        <w:t>Multa por inadimplemento total ou parcial:</w:t>
      </w:r>
    </w:p>
    <w:p w14:paraId="2064CEF9">
      <w:pPr>
        <w:tabs>
          <w:tab w:val="left" w:pos="3514"/>
        </w:tabs>
        <w:jc w:val="both"/>
      </w:pPr>
    </w:p>
    <w:p w14:paraId="5664F641">
      <w:pPr>
        <w:tabs>
          <w:tab w:val="left" w:pos="3514"/>
        </w:tabs>
        <w:jc w:val="both"/>
      </w:pPr>
      <w:r>
        <w:t>a) Caracteriza inadimplemento total do contrato quando a finalidade da contratação restar prejudicada;</w:t>
      </w:r>
    </w:p>
    <w:p w14:paraId="7A48069C">
      <w:pPr>
        <w:tabs>
          <w:tab w:val="left" w:pos="3514"/>
        </w:tabs>
        <w:jc w:val="both"/>
      </w:pPr>
    </w:p>
    <w:p w14:paraId="38327733">
      <w:pPr>
        <w:tabs>
          <w:tab w:val="left" w:pos="3514"/>
        </w:tabs>
        <w:jc w:val="both"/>
      </w:pPr>
      <w:r>
        <w:t>b) Caracteriza inadimplemento parcial do contrato quando for cumprido apenas uma parte do objeto;</w:t>
      </w:r>
    </w:p>
    <w:p w14:paraId="0FA0C890">
      <w:pPr>
        <w:tabs>
          <w:tab w:val="left" w:pos="3514"/>
        </w:tabs>
        <w:jc w:val="both"/>
      </w:pPr>
    </w:p>
    <w:p w14:paraId="233A452C">
      <w:pPr>
        <w:tabs>
          <w:tab w:val="left" w:pos="3514"/>
        </w:tabs>
        <w:jc w:val="both"/>
      </w:pPr>
      <w:r>
        <w:t>c) A inexecução total do contrato sujeitará a Contratada à multa de 20% (vinte por cento) do valor total do contrato, sem prejuízo das penalidades de Declaração de Inidoneidade ou Suspensão do Direito de Licitar;</w:t>
      </w:r>
    </w:p>
    <w:p w14:paraId="0D7C6FCC">
      <w:pPr>
        <w:tabs>
          <w:tab w:val="left" w:pos="3514"/>
        </w:tabs>
        <w:jc w:val="both"/>
      </w:pPr>
    </w:p>
    <w:p w14:paraId="79D9A22C">
      <w:pPr>
        <w:tabs>
          <w:tab w:val="left" w:pos="3514"/>
        </w:tabs>
        <w:jc w:val="both"/>
      </w:pPr>
      <w:r>
        <w:t>d) O fornecimento parcial no que tange aos quantitativos solicitados do objeto sujeitará a Contratada à multa de 5% (cinco por cento) do valor do contrato, sem prejuízo da reposição;</w:t>
      </w:r>
    </w:p>
    <w:p w14:paraId="2D2F739D">
      <w:pPr>
        <w:tabs>
          <w:tab w:val="left" w:pos="3514"/>
        </w:tabs>
        <w:ind w:left="1134" w:hanging="283"/>
        <w:jc w:val="both"/>
      </w:pPr>
    </w:p>
    <w:p w14:paraId="10730ACE">
      <w:pPr>
        <w:tabs>
          <w:tab w:val="left" w:pos="3514"/>
        </w:tabs>
        <w:jc w:val="both"/>
      </w:pPr>
      <w:r>
        <w:t>e) O fornecimento do objeto em níveis de qualidade inferior ou diverso ao ofertado na proposta de preços sujeita a Contratada à multa de 5% (cinco por cento) do valor total do contrato, devendo ainda os materiais/equipamentos/serviços ser substituídos;</w:t>
      </w:r>
    </w:p>
    <w:p w14:paraId="2872403A">
      <w:pPr>
        <w:tabs>
          <w:tab w:val="left" w:pos="3514"/>
        </w:tabs>
        <w:ind w:left="1134" w:hanging="283"/>
        <w:jc w:val="both"/>
      </w:pPr>
    </w:p>
    <w:p w14:paraId="4216BE2C">
      <w:pPr>
        <w:tabs>
          <w:tab w:val="left" w:pos="3514"/>
        </w:tabs>
        <w:jc w:val="both"/>
      </w:pPr>
      <w:r>
        <w:t>f) Suspensão temporária do direito de licitar e contratar com a Administração Municipal pelo prazo de até 03 (três) anos;</w:t>
      </w:r>
    </w:p>
    <w:p w14:paraId="7D8A744C">
      <w:pPr>
        <w:tabs>
          <w:tab w:val="left" w:pos="3514"/>
        </w:tabs>
        <w:jc w:val="both"/>
      </w:pPr>
    </w:p>
    <w:p w14:paraId="439C9167">
      <w:pPr>
        <w:tabs>
          <w:tab w:val="left" w:pos="3514"/>
        </w:tabs>
        <w:jc w:val="both"/>
      </w:pPr>
      <w:r>
        <w:t>g) Declaração de inidoneidade, enquanto perdurarem os motivos da punição ou até que seja promovida a reabilitação perante a própria autoridade que aplicou a penalidade;</w:t>
      </w:r>
    </w:p>
    <w:p w14:paraId="6882F7C1">
      <w:pPr>
        <w:tabs>
          <w:tab w:val="left" w:pos="3514"/>
        </w:tabs>
        <w:jc w:val="both"/>
      </w:pPr>
    </w:p>
    <w:p w14:paraId="03679111">
      <w:pPr>
        <w:tabs>
          <w:tab w:val="left" w:pos="3514"/>
        </w:tabs>
        <w:jc w:val="both"/>
      </w:pPr>
      <w:r>
        <w:rPr>
          <w:b/>
          <w:bCs/>
        </w:rPr>
        <w:t>22.3.</w:t>
      </w:r>
      <w:r>
        <w:t xml:space="preserve"> O valor das multas aplicadas serão sempre deduzidas do pagamento da Nota Fiscal ou em caso de ausência de saldo a receber, deverá ser cobrado judicialmente;</w:t>
      </w:r>
    </w:p>
    <w:p w14:paraId="3734E682">
      <w:pPr>
        <w:tabs>
          <w:tab w:val="left" w:pos="3514"/>
        </w:tabs>
        <w:jc w:val="both"/>
      </w:pPr>
    </w:p>
    <w:p w14:paraId="037BDEF3">
      <w:pPr>
        <w:tabs>
          <w:tab w:val="left" w:pos="3514"/>
        </w:tabs>
        <w:jc w:val="both"/>
      </w:pPr>
      <w:r>
        <w:rPr>
          <w:b/>
          <w:bCs/>
        </w:rPr>
        <w:t>22.4.</w:t>
      </w:r>
      <w:r>
        <w:t xml:space="preserve"> As ocorrências relacionadas com a execução do contrato serão anotadas pelo fiscal do contrato nos moldes do artigo 6º, XXIII da Lei de Licitações 14.133/2021 e o Decreto Municipal 11.685/2023;</w:t>
      </w:r>
    </w:p>
    <w:p w14:paraId="4224BBF6">
      <w:pPr>
        <w:tabs>
          <w:tab w:val="left" w:pos="3514"/>
        </w:tabs>
        <w:jc w:val="both"/>
      </w:pPr>
    </w:p>
    <w:p w14:paraId="164BA23D">
      <w:pPr>
        <w:tabs>
          <w:tab w:val="left" w:pos="3514"/>
        </w:tabs>
        <w:jc w:val="both"/>
      </w:pPr>
      <w:r>
        <w:rPr>
          <w:b/>
          <w:bCs/>
        </w:rPr>
        <w:t>22.5</w:t>
      </w:r>
      <w:r>
        <w:t>. As multas previstas não têm caráter compensatório e, consequentemente, o pagamento delas não eximem a Contratada da reparação dos eventuais danos, perdas ou prejuízos que seu ato punível ve</w:t>
      </w:r>
      <w:bookmarkStart w:id="28" w:name="__RefHeading___Toc190782030"/>
      <w:r>
        <w:t>nha a acarretar à administração.</w:t>
      </w:r>
    </w:p>
    <w:p w14:paraId="66E64148">
      <w:pPr>
        <w:pStyle w:val="2"/>
        <w:rPr>
          <w:rFonts w:ascii="Arial" w:hAnsi="Arial" w:cs="Arial"/>
          <w:b/>
          <w:color w:val="000000" w:themeColor="text1"/>
          <w:sz w:val="24"/>
          <w:szCs w:val="24"/>
          <w14:textFill>
            <w14:solidFill>
              <w14:schemeClr w14:val="tx1"/>
            </w14:solidFill>
          </w14:textFill>
        </w:rPr>
      </w:pPr>
      <w:r>
        <w:rPr>
          <w:rFonts w:ascii="Arial" w:hAnsi="Arial" w:eastAsia="SimSun" w:cs="Arial"/>
          <w:b/>
          <w:color w:val="000000" w:themeColor="text1"/>
          <w:sz w:val="24"/>
          <w:szCs w:val="24"/>
          <w14:textFill>
            <w14:solidFill>
              <w14:schemeClr w14:val="tx1"/>
            </w14:solidFill>
          </w14:textFill>
        </w:rPr>
        <w:t>23. GESTÃO DE CONTRATO E FISCALIZAÇÃO:</w:t>
      </w:r>
    </w:p>
    <w:p w14:paraId="2A6347E4">
      <w:pPr>
        <w:tabs>
          <w:tab w:val="left" w:pos="3514"/>
        </w:tabs>
        <w:jc w:val="both"/>
        <w:rPr>
          <w:rFonts w:eastAsia="SimSun"/>
          <w:b/>
        </w:rPr>
      </w:pPr>
    </w:p>
    <w:p w14:paraId="3DC9BC69">
      <w:pPr>
        <w:tabs>
          <w:tab w:val="left" w:pos="3514"/>
        </w:tabs>
        <w:jc w:val="both"/>
      </w:pPr>
      <w:r>
        <w:rPr>
          <w:rFonts w:eastAsia="SimSun"/>
          <w:b/>
        </w:rPr>
        <w:t>23.1</w:t>
      </w:r>
      <w:r>
        <w:rPr>
          <w:rFonts w:eastAsia="SimSun"/>
        </w:rPr>
        <w:t>.O regime de execução contratual, os modelos de gestão e de execução, assim como os prazos, condições de conclusão e a entrega estão indicados nos itens VIII desse Termo de Referência.</w:t>
      </w:r>
    </w:p>
    <w:p w14:paraId="7F4DE607">
      <w:pPr>
        <w:tabs>
          <w:tab w:val="left" w:pos="3514"/>
        </w:tabs>
        <w:jc w:val="both"/>
        <w:rPr>
          <w:rFonts w:eastAsia="SimSun"/>
          <w:b/>
        </w:rPr>
      </w:pPr>
    </w:p>
    <w:p w14:paraId="6A7E8B3C">
      <w:pPr>
        <w:tabs>
          <w:tab w:val="left" w:pos="3514"/>
        </w:tabs>
        <w:jc w:val="both"/>
      </w:pPr>
      <w:r>
        <w:rPr>
          <w:rFonts w:eastAsia="SimSun"/>
          <w:b/>
        </w:rPr>
        <w:t>23.2.</w:t>
      </w:r>
      <w:r>
        <w:rPr>
          <w:rFonts w:eastAsia="SimSun"/>
        </w:rPr>
        <w:t xml:space="preserve"> O contrato deverá ser executado fielmente pelas partes, de acordo com as cláusulas avençadas e as normas da Lei n.º 14.133/2021, e cada parte responderá pelas consequências de sua inexecução total ou parcial.</w:t>
      </w:r>
    </w:p>
    <w:p w14:paraId="13B05DD5">
      <w:pPr>
        <w:tabs>
          <w:tab w:val="left" w:pos="3514"/>
        </w:tabs>
        <w:jc w:val="both"/>
        <w:rPr>
          <w:rFonts w:eastAsia="SimSun"/>
        </w:rPr>
      </w:pPr>
    </w:p>
    <w:p w14:paraId="700C7078">
      <w:pPr>
        <w:tabs>
          <w:tab w:val="left" w:pos="3514"/>
        </w:tabs>
        <w:jc w:val="both"/>
      </w:pPr>
      <w:r>
        <w:rPr>
          <w:rFonts w:eastAsia="SimSun"/>
          <w:b/>
        </w:rPr>
        <w:t>23.3.</w:t>
      </w:r>
      <w:r>
        <w:rPr>
          <w:rFonts w:eastAsia="SimSun"/>
        </w:rPr>
        <w:t xml:space="preserve"> A execução do contrato deverá ser acompanhada e fiscalizada pelo (a) fiscal do contrato, ou, em caso de afastamentos legais, pelos respectivos (as) substitutos (as).</w:t>
      </w:r>
    </w:p>
    <w:p w14:paraId="45455853">
      <w:pPr>
        <w:tabs>
          <w:tab w:val="left" w:pos="3514"/>
        </w:tabs>
        <w:jc w:val="both"/>
      </w:pPr>
      <w:r>
        <w:rPr>
          <w:rFonts w:eastAsia="SimSun"/>
          <w:b/>
        </w:rPr>
        <w:t>23.4.</w:t>
      </w:r>
      <w:r>
        <w:rPr>
          <w:rFonts w:eastAsia="SimSun"/>
        </w:rPr>
        <w:t xml:space="preserve"> Os (As) gestores e fiscais de contrato devem ser previamente designados (as), através de Portaria geral ou específica, preferencialmente por meio eletrônico, bem como os (as) titulares e substitutos.</w:t>
      </w:r>
    </w:p>
    <w:p w14:paraId="71A55ED0">
      <w:pPr>
        <w:tabs>
          <w:tab w:val="left" w:pos="3514"/>
        </w:tabs>
        <w:jc w:val="both"/>
      </w:pPr>
      <w:r>
        <w:rPr>
          <w:rFonts w:eastAsia="SimSun"/>
          <w:b/>
        </w:rPr>
        <w:t>23.5.</w:t>
      </w:r>
      <w:r>
        <w:rPr>
          <w:rFonts w:eastAsia="SimSun"/>
        </w:rPr>
        <w:t xml:space="preserve"> Não obstante a (s) Contratada (s) seja (m) a (s) única (s) e exclusiva (s) responsável (is) pela execução do contrato, a Contratante reserva-se o direito de, sem que de qualquer forma restrinja a plenitude dessa responsabilidade, exercer a mais ampla e completa fiscalização sobre a execução do objeto contratado.</w:t>
      </w:r>
    </w:p>
    <w:p w14:paraId="70334D31">
      <w:pPr>
        <w:tabs>
          <w:tab w:val="left" w:pos="3514"/>
        </w:tabs>
        <w:jc w:val="both"/>
        <w:rPr>
          <w:rFonts w:eastAsia="SimSun"/>
        </w:rPr>
      </w:pPr>
    </w:p>
    <w:p w14:paraId="7B2545E9">
      <w:pPr>
        <w:tabs>
          <w:tab w:val="left" w:pos="3514"/>
        </w:tabs>
        <w:jc w:val="both"/>
      </w:pPr>
      <w:r>
        <w:rPr>
          <w:rFonts w:eastAsia="SimSun"/>
          <w:b/>
        </w:rPr>
        <w:t>23.6.</w:t>
      </w:r>
      <w:r>
        <w:rPr>
          <w:rFonts w:eastAsia="SimSun"/>
        </w:rPr>
        <w:t xml:space="preserve"> O (A) Fiscal do Contrato é o agente público responsável por aplicar as ações estabelecidas sempre que for preciso e desempenhar com eficiência e zelo todas as atribuições a ele (ela) incumbidas na legislação aplicável, em especial aquelas indicadas na subseção V do Decreto Municipal n.º 11.685/2023.</w:t>
      </w:r>
    </w:p>
    <w:p w14:paraId="5FF7F840">
      <w:pPr>
        <w:tabs>
          <w:tab w:val="left" w:pos="3514"/>
        </w:tabs>
        <w:jc w:val="both"/>
        <w:rPr>
          <w:rFonts w:eastAsia="SimSun"/>
        </w:rPr>
      </w:pPr>
    </w:p>
    <w:p w14:paraId="46FB8BC9">
      <w:pPr>
        <w:tabs>
          <w:tab w:val="left" w:pos="3514"/>
        </w:tabs>
        <w:jc w:val="both"/>
      </w:pPr>
      <w:r>
        <w:rPr>
          <w:rFonts w:eastAsia="SimSun"/>
          <w:b/>
        </w:rPr>
        <w:t>23.7.</w:t>
      </w:r>
      <w:r>
        <w:rPr>
          <w:rFonts w:eastAsia="SimSun"/>
        </w:rPr>
        <w:t xml:space="preserve"> Conforme o artigo 7º da Lei nº 14.133/2021 e o artigo 8º do Decreto nº 11.246/2022, devendo a Administração Pública instruir os autos com as publicações dos atos de designação dos agentes públicos para o exercício dessas funções.</w:t>
      </w:r>
    </w:p>
    <w:p w14:paraId="3B2E845F">
      <w:pPr>
        <w:tabs>
          <w:tab w:val="left" w:pos="3514"/>
        </w:tabs>
        <w:jc w:val="both"/>
        <w:rPr>
          <w:rFonts w:eastAsia="SimSun"/>
        </w:rPr>
      </w:pPr>
    </w:p>
    <w:p w14:paraId="02990F00">
      <w:pPr>
        <w:tabs>
          <w:tab w:val="left" w:pos="3514"/>
        </w:tabs>
        <w:jc w:val="both"/>
        <w:rPr>
          <w:rFonts w:eastAsia="SimSun"/>
        </w:rPr>
      </w:pPr>
      <w:r>
        <w:rPr>
          <w:rFonts w:eastAsia="SimSun"/>
          <w:b/>
        </w:rPr>
        <w:t>23.8.</w:t>
      </w:r>
      <w:r>
        <w:rPr>
          <w:rFonts w:eastAsia="SimSun"/>
        </w:rPr>
        <w:t xml:space="preserve"> O (A) fiscal do contrato informará a seus superiores, em tempo hábil para a adoção das medidas convenientes, a situação que demandar decisão ou providência que ultrapasse sua competência.</w:t>
      </w:r>
    </w:p>
    <w:p w14:paraId="44E12859">
      <w:pPr>
        <w:pStyle w:val="2"/>
        <w:rPr>
          <w:rFonts w:ascii="Arial" w:hAnsi="Arial" w:cs="Arial"/>
          <w:b/>
          <w:bCs/>
          <w:color w:val="000000" w:themeColor="text1"/>
          <w:sz w:val="24"/>
          <w:szCs w:val="24"/>
          <w14:textFill>
            <w14:solidFill>
              <w14:schemeClr w14:val="tx1"/>
            </w14:solidFill>
          </w14:textFill>
        </w:rPr>
      </w:pPr>
      <w:r>
        <w:rPr>
          <w:rFonts w:ascii="Arial" w:hAnsi="Arial" w:eastAsia="SimSun" w:cs="Arial"/>
          <w:b/>
          <w:bCs/>
          <w:color w:val="000000" w:themeColor="text1"/>
          <w:sz w:val="24"/>
          <w:szCs w:val="24"/>
          <w14:textFill>
            <w14:solidFill>
              <w14:schemeClr w14:val="tx1"/>
            </w14:solidFill>
          </w14:textFill>
        </w:rPr>
        <w:t>24. CRITÉRIOS DE MEDIÇÃO E DE PAGAMENTO:</w:t>
      </w:r>
      <w:bookmarkEnd w:id="28"/>
      <w:r>
        <w:rPr>
          <w:rFonts w:ascii="Arial" w:hAnsi="Arial" w:eastAsia="SimSun" w:cs="Arial"/>
          <w:b/>
          <w:bCs/>
          <w:color w:val="000000" w:themeColor="text1"/>
          <w:sz w:val="24"/>
          <w:szCs w:val="24"/>
          <w14:textFill>
            <w14:solidFill>
              <w14:schemeClr w14:val="tx1"/>
            </w14:solidFill>
          </w14:textFill>
        </w:rPr>
        <w:t xml:space="preserve"> </w:t>
      </w:r>
    </w:p>
    <w:p w14:paraId="0CD5C4C4">
      <w:pPr>
        <w:jc w:val="both"/>
        <w:rPr>
          <w:rFonts w:eastAsia="SimSun"/>
          <w:kern w:val="2"/>
        </w:rPr>
      </w:pPr>
    </w:p>
    <w:p w14:paraId="7FEA42EE">
      <w:pPr>
        <w:jc w:val="both"/>
        <w:rPr>
          <w:b/>
        </w:rPr>
      </w:pPr>
      <w:r>
        <w:rPr>
          <w:b/>
        </w:rPr>
        <w:t xml:space="preserve">24.1. </w:t>
      </w:r>
      <w:r>
        <w:t>O recebimento do insumo se dará pelo responsável por seu acompanhamento e fiscalização (artigo 140, Inciso II, alínea “a” da Lei n.º 14.133/2021), no ato da entrega dos bens, mediante Relatório, contendo o registro, a análise e a conclusão acerca das ocorrências na execução do contrato. Deverão, também, serem anexados os demais documentos que o responsável julgar necessário e, encontrando irregularidade, fixará prazo para correção.</w:t>
      </w:r>
    </w:p>
    <w:p w14:paraId="59169959">
      <w:pPr>
        <w:jc w:val="both"/>
        <w:rPr>
          <w:b/>
        </w:rPr>
      </w:pPr>
    </w:p>
    <w:p w14:paraId="5305D2F5">
      <w:pPr>
        <w:jc w:val="both"/>
        <w:rPr>
          <w:b/>
        </w:rPr>
      </w:pPr>
      <w:r>
        <w:rPr>
          <w:b/>
        </w:rPr>
        <w:t xml:space="preserve">24.1.2. </w:t>
      </w:r>
      <w:r>
        <w:t>A fiscalização notificará o contratado para se for o caso, no prazo de até 05 (cinco) dias úteis, impugnar os apontamentos do Relatório ou emitir a Nota Fiscal/Fatura no valor apurado.</w:t>
      </w:r>
    </w:p>
    <w:p w14:paraId="217AE2DD">
      <w:pPr>
        <w:jc w:val="both"/>
        <w:rPr>
          <w:b/>
        </w:rPr>
      </w:pPr>
    </w:p>
    <w:p w14:paraId="025DF44F">
      <w:pPr>
        <w:jc w:val="both"/>
        <w:rPr>
          <w:b/>
        </w:rPr>
      </w:pPr>
      <w:r>
        <w:rPr>
          <w:b/>
        </w:rPr>
        <w:t xml:space="preserve">24.1.3. </w:t>
      </w:r>
      <w:r>
        <w:t>Realizar a análise dos relatórios e de toda a documentação apresentada pela fiscalização e, caso haja irregularidades que impeçam a liquidação e o pagamento da despesa, indicar as cláusulas contratuais pertinentes, solicitando ao contratado, por escrito, as respectivas correções;</w:t>
      </w:r>
    </w:p>
    <w:p w14:paraId="69721AC4">
      <w:pPr>
        <w:jc w:val="both"/>
        <w:rPr>
          <w:b/>
        </w:rPr>
      </w:pPr>
    </w:p>
    <w:p w14:paraId="5979C784">
      <w:pPr>
        <w:jc w:val="both"/>
        <w:rPr>
          <w:b/>
        </w:rPr>
      </w:pPr>
      <w:r>
        <w:rPr>
          <w:b/>
        </w:rPr>
        <w:t xml:space="preserve">24.1.4. </w:t>
      </w:r>
      <w:r>
        <w:t>Realizar a aposição de assinatura nas vias do Documento Auxiliar da NF-e (Danfe) ou na Nota Fiscal, emitida pelo contratado para os bens fornecidos.</w:t>
      </w:r>
    </w:p>
    <w:p w14:paraId="2FE7FC87">
      <w:pPr>
        <w:jc w:val="both"/>
        <w:rPr>
          <w:b/>
        </w:rPr>
      </w:pPr>
    </w:p>
    <w:p w14:paraId="71CF9E42">
      <w:pPr>
        <w:jc w:val="both"/>
      </w:pPr>
      <w:r>
        <w:rPr>
          <w:b/>
        </w:rPr>
        <w:t xml:space="preserve">24.2. </w:t>
      </w:r>
      <w:r>
        <w:t xml:space="preserve">Pelo fiel e perfeito fornecimento do objeto desta licitação, o município de Rondonópolis-MT, pagará o valor total, em Reais (R$), à Contratada, mediante a entrega da Nota Fiscal, devidamente atestada pela Secretaria solicitante, que corresponderá ao valor do objeto licitado entregue, após verificação; </w:t>
      </w:r>
    </w:p>
    <w:p w14:paraId="44F7344D">
      <w:pPr>
        <w:ind w:left="284"/>
        <w:jc w:val="both"/>
      </w:pPr>
    </w:p>
    <w:p w14:paraId="5A9E3E38">
      <w:pPr>
        <w:jc w:val="both"/>
      </w:pPr>
      <w:r>
        <w:rPr>
          <w:b/>
        </w:rPr>
        <w:t>24.3.</w:t>
      </w:r>
      <w:r>
        <w:t xml:space="preserve"> No preço a ser pago deverão estar inclusas todas as despesas inerentes a: salários, encargos sociais, tributários, trabalhistas, comerciais (inclusive frete), materiais, enfim todas as despesas necessárias ao fornecimento do objeto deste Pregão a ser entregue no município de Rondonópolis-MT; </w:t>
      </w:r>
    </w:p>
    <w:p w14:paraId="581A8D2E">
      <w:pPr>
        <w:jc w:val="both"/>
      </w:pPr>
      <w:r>
        <w:rPr>
          <w:b/>
        </w:rPr>
        <w:t>24.4.</w:t>
      </w:r>
      <w:r>
        <w:t xml:space="preserve"> O pagamento será realizado conforme termo de referência/contrato, devendo ainda atender aos termos do art. 60 da Lei federal n.º 4.320, de 17/03/1964, em até 30 (trinta) dias após entrega e atesto de recebimento definitivo do objeto licitado, mediante apresentação da Nota Fiscal, atestada pelo servidor responsável da CONTRATANTE , devidamente acompanhada dos documentos estabelecidos na Legislação Vigente ou o que venha a substituí-los, através de boleto ou transferência bancaria em conta jurídica da empresa contratada. </w:t>
      </w:r>
    </w:p>
    <w:p w14:paraId="0DA708B6">
      <w:pPr>
        <w:ind w:left="284"/>
        <w:jc w:val="both"/>
      </w:pPr>
    </w:p>
    <w:p w14:paraId="5C05F047">
      <w:pPr>
        <w:jc w:val="both"/>
      </w:pPr>
      <w:r>
        <w:rPr>
          <w:b/>
        </w:rPr>
        <w:t>24.5.</w:t>
      </w:r>
      <w:r>
        <w:t xml:space="preserve"> A nota fiscal deverá conter atestados firmados pelo servidor encarregado de fiscalizar o recebimento, comprovando a entrega do objeto contratado; </w:t>
      </w:r>
    </w:p>
    <w:p w14:paraId="6ADFBC8A">
      <w:pPr>
        <w:ind w:left="284"/>
        <w:jc w:val="both"/>
      </w:pPr>
    </w:p>
    <w:p w14:paraId="2450F7CA">
      <w:pPr>
        <w:jc w:val="both"/>
      </w:pPr>
      <w:r>
        <w:rPr>
          <w:b/>
        </w:rPr>
        <w:t>24.6.</w:t>
      </w:r>
      <w:r>
        <w:t xml:space="preserve"> A contratada deverá indicar no corpo da nota fiscal, n. do contrato, mês de referência, descrição dos produtos, o número e nome do banco, agência e número da conta, na qual deverá ser feito o pagamento, via ordem bancária; </w:t>
      </w:r>
    </w:p>
    <w:p w14:paraId="513ECB63">
      <w:pPr>
        <w:jc w:val="both"/>
        <w:rPr>
          <w:b/>
        </w:rPr>
      </w:pPr>
    </w:p>
    <w:p w14:paraId="710D67FC">
      <w:pPr>
        <w:jc w:val="both"/>
        <w:rPr>
          <w:u w:val="single"/>
        </w:rPr>
      </w:pPr>
      <w:r>
        <w:rPr>
          <w:b/>
          <w:u w:val="single"/>
        </w:rPr>
        <w:t xml:space="preserve">24.7. </w:t>
      </w:r>
      <w:r>
        <w:rPr>
          <w:u w:val="single"/>
        </w:rPr>
        <w:t>O prazo para liquidação será de 15 (quinze) dias úteis.</w:t>
      </w:r>
    </w:p>
    <w:p w14:paraId="608FFF42">
      <w:pPr>
        <w:jc w:val="both"/>
        <w:rPr>
          <w:u w:val="single"/>
        </w:rPr>
      </w:pPr>
    </w:p>
    <w:p w14:paraId="02D8FEA5">
      <w:pPr>
        <w:jc w:val="both"/>
      </w:pPr>
      <w:r>
        <w:rPr>
          <w:b/>
        </w:rPr>
        <w:t>24.8.</w:t>
      </w:r>
      <w:r>
        <w:t xml:space="preserve"> O Município de Rondonópolis efetuará o pagamento por meio de ordem bancária, tomada junto ao Banco ou Cooperativa, endereçada ao banco discriminado na nota fiscal; </w:t>
      </w:r>
    </w:p>
    <w:p w14:paraId="59ADB30B">
      <w:pPr>
        <w:ind w:left="284"/>
        <w:jc w:val="both"/>
      </w:pPr>
    </w:p>
    <w:p w14:paraId="77BA8230">
      <w:pPr>
        <w:jc w:val="both"/>
      </w:pPr>
      <w:r>
        <w:rPr>
          <w:b/>
        </w:rPr>
        <w:t>24.9.</w:t>
      </w:r>
      <w:r>
        <w:t xml:space="preserve"> Constando qualquer incorreção na nota fiscal, bem como, outra circunstância que desaconselhe o seu pagamento, o prazo para pagamento constante no item 24.3. Fluirá a partir da respectiva regularização; </w:t>
      </w:r>
    </w:p>
    <w:p w14:paraId="4921706F">
      <w:pPr>
        <w:ind w:left="284"/>
        <w:jc w:val="both"/>
        <w:rPr>
          <w:b/>
        </w:rPr>
      </w:pPr>
    </w:p>
    <w:p w14:paraId="22E33C0D">
      <w:pPr>
        <w:jc w:val="both"/>
      </w:pPr>
      <w:r>
        <w:rPr>
          <w:b/>
        </w:rPr>
        <w:t>24.10.</w:t>
      </w:r>
      <w:r>
        <w:t xml:space="preserve"> As despesas bancárias decorrentes de transferências de valores para outras praças serão de responsabilidade da contratada; </w:t>
      </w:r>
    </w:p>
    <w:p w14:paraId="02837D84">
      <w:pPr>
        <w:ind w:left="284"/>
        <w:jc w:val="both"/>
        <w:rPr>
          <w:b/>
        </w:rPr>
      </w:pPr>
    </w:p>
    <w:p w14:paraId="0972ECAD">
      <w:pPr>
        <w:jc w:val="both"/>
      </w:pPr>
      <w:r>
        <w:rPr>
          <w:b/>
        </w:rPr>
        <w:t>24.11.</w:t>
      </w:r>
      <w:r>
        <w:t xml:space="preserve"> O pagamento efetuado não isentará a contratada de suas responsabilidades vinculadas ao fornecimento, especialmente àquelas relacionadas com a qualidade e garantia dos bens fornecidos; </w:t>
      </w:r>
    </w:p>
    <w:p w14:paraId="18EE5369">
      <w:pPr>
        <w:ind w:left="284"/>
        <w:jc w:val="both"/>
      </w:pPr>
    </w:p>
    <w:p w14:paraId="0A02B436">
      <w:pPr>
        <w:jc w:val="both"/>
      </w:pPr>
      <w:r>
        <w:rPr>
          <w:b/>
        </w:rPr>
        <w:t>24.12.</w:t>
      </w:r>
      <w:r>
        <w:t xml:space="preserve"> O pagamento a ser efetuado ficará condicionado à apresentação pela empresa dos comprobatórios de quitação das obrigações para com o INSS e FGTS, referente ao mês anterior. </w:t>
      </w:r>
    </w:p>
    <w:p w14:paraId="24C83461">
      <w:pPr>
        <w:ind w:left="284"/>
        <w:jc w:val="both"/>
      </w:pPr>
    </w:p>
    <w:p w14:paraId="2F8E2446">
      <w:pPr>
        <w:jc w:val="both"/>
      </w:pPr>
      <w:r>
        <w:rPr>
          <w:b/>
        </w:rPr>
        <w:t xml:space="preserve">24.13. </w:t>
      </w:r>
      <w:r>
        <w:t>As Notas Fiscais deverão ser emitidas até o dia 25 de cada mês, conforme disposto no artigo 3º, § 1º da Instrução Normativa n. 03/2008. Nas Notas Fiscais deverão constar o número do processo e da modalidade da licitação, bem como a Secretaria solicitante.</w:t>
      </w:r>
    </w:p>
    <w:p w14:paraId="7B126802">
      <w:pPr>
        <w:ind w:left="284"/>
        <w:jc w:val="both"/>
        <w:rPr>
          <w:b/>
        </w:rPr>
      </w:pPr>
    </w:p>
    <w:p w14:paraId="0C2CFD5E">
      <w:pPr>
        <w:jc w:val="both"/>
      </w:pPr>
      <w:r>
        <w:rPr>
          <w:b/>
        </w:rPr>
        <w:t xml:space="preserve">24.14. </w:t>
      </w:r>
      <w:r>
        <w:t>O Município de Rondonópolis-MT, só autorizará a realização dos pagamentos, se houver por parte do setor requisitante dos produtos, o necessário ATESTO dos produtos entregues pela empresa vencedora, no verso da Nota Fiscal.</w:t>
      </w:r>
    </w:p>
    <w:p w14:paraId="77C2EAEE">
      <w:pPr>
        <w:jc w:val="both"/>
      </w:pPr>
      <w:r>
        <w:rPr>
          <w:b/>
        </w:rPr>
        <w:t xml:space="preserve">24.15. </w:t>
      </w:r>
      <w:r>
        <w:t>Quando do pagamento, será efetuada a retenção tributária prevista na legislação aplicável.</w:t>
      </w:r>
    </w:p>
    <w:p w14:paraId="0BBBAB51">
      <w:pPr>
        <w:jc w:val="both"/>
      </w:pPr>
    </w:p>
    <w:p w14:paraId="39A809D5">
      <w:pPr>
        <w:jc w:val="both"/>
      </w:pPr>
      <w:r>
        <w:rPr>
          <w:b/>
        </w:rPr>
        <w:t>24.16</w:t>
      </w:r>
      <w:r>
        <w:t>. Após 30 (trinta) dias da data em que deveria ser efetuado o pagamento das faturas, incidirá sobre o valor faturado atualização monetária com base no Índice de Nacional de Preços ao Consumidor Amplo (IPCA) ou Índice Geral de Preços - Mercado (IGP-M), sendo que sempre será utilizado o índice de menor percentual.</w:t>
      </w:r>
    </w:p>
    <w:p w14:paraId="1D41D720">
      <w:pPr>
        <w:pStyle w:val="2"/>
        <w:rPr>
          <w:rFonts w:ascii="Arial" w:hAnsi="Arial" w:cs="Arial"/>
          <w:b/>
          <w:color w:val="000000" w:themeColor="text1"/>
          <w:sz w:val="24"/>
          <w:szCs w:val="24"/>
          <w14:textFill>
            <w14:solidFill>
              <w14:schemeClr w14:val="tx1"/>
            </w14:solidFill>
          </w14:textFill>
        </w:rPr>
      </w:pPr>
      <w:r>
        <w:rPr>
          <w:rFonts w:ascii="Arial" w:hAnsi="Arial" w:cs="Arial"/>
          <w:b/>
          <w:color w:val="000000" w:themeColor="text1"/>
          <w:sz w:val="24"/>
          <w:szCs w:val="24"/>
          <w14:textFill>
            <w14:solidFill>
              <w14:schemeClr w14:val="tx1"/>
            </w14:solidFill>
          </w14:textFill>
        </w:rPr>
        <w:t>25. DO PRAZO DO CONTRATO E POSSIBILIDADE DE PRORROGAÇÃO (INCISO I DO DECRETO MUNICIPAL 11.685/2023):</w:t>
      </w:r>
    </w:p>
    <w:p w14:paraId="01E6A951">
      <w:pPr>
        <w:jc w:val="both"/>
        <w:rPr>
          <w:color w:val="000000"/>
        </w:rPr>
      </w:pPr>
    </w:p>
    <w:p w14:paraId="08FA2EDE">
      <w:pPr>
        <w:autoSpaceDE w:val="0"/>
        <w:jc w:val="both"/>
      </w:pPr>
      <w:r>
        <w:rPr>
          <w:b/>
          <w:color w:val="000000"/>
        </w:rPr>
        <w:t>25.1.</w:t>
      </w:r>
      <w:r>
        <w:rPr>
          <w:color w:val="000000"/>
        </w:rPr>
        <w:t xml:space="preserve"> O contrato futuro a ser celebrado terá validade de 12 (doze) meses, contados da assinatura do mesmo, </w:t>
      </w:r>
      <w:r>
        <w:t>podendo ser prorrogado conforme art. 107 da lei 14.133/2021.</w:t>
      </w:r>
    </w:p>
    <w:p w14:paraId="00E4B519">
      <w:pPr>
        <w:ind w:left="284"/>
        <w:jc w:val="both"/>
        <w:rPr>
          <w:color w:val="000000"/>
        </w:rPr>
      </w:pPr>
    </w:p>
    <w:p w14:paraId="61043E43">
      <w:pPr>
        <w:ind w:left="284"/>
        <w:jc w:val="both"/>
        <w:rPr>
          <w:color w:val="000000"/>
        </w:rPr>
      </w:pPr>
      <w:r>
        <w:rPr>
          <w:b/>
          <w:color w:val="000000"/>
        </w:rPr>
        <w:t>25.1.1.</w:t>
      </w:r>
      <w:r>
        <w:rPr>
          <w:color w:val="000000"/>
        </w:rPr>
        <w:t xml:space="preserve"> Quando a não conclusão decorrer de culpa do contratado ele será constituído em mora (sem prejuízo da aplicação das respectivas sanções administrativas) e a Administração poderá optar pela extinção do contrato ocasião em que adotará as medidas admitidas em lei para a continuidade da execução contratual. Conforme estabelece o parágrafo único do 111 da Lei 14.133/2021).</w:t>
      </w:r>
    </w:p>
    <w:p w14:paraId="6A6EFFC0">
      <w:pPr>
        <w:pStyle w:val="2"/>
        <w:rPr>
          <w:rFonts w:ascii="Arial" w:hAnsi="Arial" w:cs="Arial"/>
          <w:b/>
          <w:color w:val="000000"/>
          <w:sz w:val="24"/>
          <w:szCs w:val="24"/>
        </w:rPr>
      </w:pPr>
      <w:r>
        <w:rPr>
          <w:rFonts w:ascii="Arial" w:hAnsi="Arial" w:cs="Arial"/>
          <w:b/>
          <w:color w:val="000000"/>
          <w:sz w:val="24"/>
          <w:szCs w:val="24"/>
        </w:rPr>
        <w:t>26. DA EXTINÇÃO DO CONTRATO:</w:t>
      </w:r>
    </w:p>
    <w:p w14:paraId="3F566090">
      <w:pPr>
        <w:jc w:val="both"/>
        <w:rPr>
          <w:color w:val="000000"/>
        </w:rPr>
      </w:pPr>
    </w:p>
    <w:p w14:paraId="6FC338CB">
      <w:pPr>
        <w:jc w:val="both"/>
        <w:rPr>
          <w:color w:val="000000"/>
        </w:rPr>
      </w:pPr>
      <w:r>
        <w:rPr>
          <w:b/>
          <w:color w:val="000000"/>
        </w:rPr>
        <w:t>26.1.</w:t>
      </w:r>
      <w:r>
        <w:rPr>
          <w:color w:val="000000"/>
        </w:rPr>
        <w:t xml:space="preserve"> O contrato se extingue quando cumpridas as obrigações de ambas as partes, ainda que isso ocorra antes do prazo estipulado para tanto.</w:t>
      </w:r>
    </w:p>
    <w:p w14:paraId="2F66C4B3">
      <w:pPr>
        <w:jc w:val="both"/>
        <w:rPr>
          <w:color w:val="000000"/>
        </w:rPr>
      </w:pPr>
    </w:p>
    <w:p w14:paraId="1494D1BC">
      <w:pPr>
        <w:jc w:val="both"/>
        <w:rPr>
          <w:color w:val="000000"/>
        </w:rPr>
      </w:pPr>
      <w:r>
        <w:rPr>
          <w:b/>
          <w:color w:val="000000"/>
        </w:rPr>
        <w:t>26.2.</w:t>
      </w:r>
      <w:r>
        <w:rPr>
          <w:color w:val="000000"/>
        </w:rPr>
        <w:t xml:space="preserve"> Se as obrigações não forem cumpridas no prazo estipulado, a vigência ficará prorrogada até a conclusão do objeto, caso em que deverá a Administração providenciar a readequação do cronograma fixado para o contrato.</w:t>
      </w:r>
    </w:p>
    <w:p w14:paraId="2C3ED072">
      <w:pPr>
        <w:jc w:val="both"/>
        <w:rPr>
          <w:color w:val="000000"/>
        </w:rPr>
      </w:pPr>
    </w:p>
    <w:p w14:paraId="00CF7345">
      <w:pPr>
        <w:jc w:val="both"/>
        <w:rPr>
          <w:color w:val="000000"/>
        </w:rPr>
      </w:pPr>
      <w:r>
        <w:rPr>
          <w:b/>
          <w:color w:val="000000"/>
        </w:rPr>
        <w:t>26.3.</w:t>
      </w:r>
      <w:r>
        <w:rPr>
          <w:color w:val="000000"/>
        </w:rPr>
        <w:t xml:space="preserve"> Quando a não conclusão do contrato referida no item anterior decorrer de culpa da contratada: (a) ficará ela constituída em mora, sendo-lhe aplicáveis as respectivas sanções administrativas; e (b) poderá a Administração optar pela extinção do contrato e, nesse caso, adotará as medidas admitidas em lei para a continuidade da execução contratual.</w:t>
      </w:r>
    </w:p>
    <w:p w14:paraId="742F4567">
      <w:pPr>
        <w:jc w:val="both"/>
        <w:rPr>
          <w:color w:val="000000"/>
        </w:rPr>
      </w:pPr>
      <w:r>
        <w:rPr>
          <w:b/>
          <w:color w:val="000000"/>
        </w:rPr>
        <w:t>26.4.</w:t>
      </w:r>
      <w:r>
        <w:rPr>
          <w:color w:val="000000"/>
        </w:rPr>
        <w:t xml:space="preserve"> O presente termo de contrato poderá ser extinto nas hipóteses previstas no rol do artigo 137 da Lei nº 14.133/2021, devendo a extinção ser formalmente motivada nos autos do processo, assegurado o contraditório e ampla defesa e respeitados os procedimentos descritos no Decreto Municipal nº 11.685/2023 e nas demais legislações aplicáveis.</w:t>
      </w:r>
    </w:p>
    <w:p w14:paraId="54866AED">
      <w:pPr>
        <w:jc w:val="both"/>
        <w:rPr>
          <w:color w:val="000000"/>
        </w:rPr>
      </w:pPr>
    </w:p>
    <w:p w14:paraId="43C0FAE9">
      <w:pPr>
        <w:jc w:val="both"/>
        <w:rPr>
          <w:color w:val="000000"/>
        </w:rPr>
      </w:pPr>
      <w:r>
        <w:rPr>
          <w:b/>
          <w:color w:val="000000"/>
        </w:rPr>
        <w:t>26.4.1.</w:t>
      </w:r>
      <w:r>
        <w:rPr>
          <w:color w:val="000000"/>
        </w:rPr>
        <w:t xml:space="preserve"> Nesta hipótese, aplicam-se também os artigos 138 e 139 da Lei 14.133/2021.</w:t>
      </w:r>
    </w:p>
    <w:p w14:paraId="5D669D4D">
      <w:pPr>
        <w:jc w:val="both"/>
        <w:rPr>
          <w:b/>
          <w:color w:val="000000"/>
        </w:rPr>
      </w:pPr>
    </w:p>
    <w:p w14:paraId="44AD78F3">
      <w:pPr>
        <w:jc w:val="both"/>
        <w:rPr>
          <w:color w:val="000000"/>
        </w:rPr>
      </w:pPr>
      <w:r>
        <w:rPr>
          <w:b/>
          <w:color w:val="000000"/>
        </w:rPr>
        <w:t>26.4.2.</w:t>
      </w:r>
      <w:r>
        <w:rPr>
          <w:color w:val="000000"/>
        </w:rPr>
        <w:t xml:space="preserve"> A alteração social ou a modificação da finalidade ou da estrutura da empresa não ensejará a rescisão se não restringir sua capacidade de concluir o contrato.</w:t>
      </w:r>
    </w:p>
    <w:p w14:paraId="4E05E448">
      <w:pPr>
        <w:jc w:val="both"/>
        <w:rPr>
          <w:color w:val="000000"/>
        </w:rPr>
      </w:pPr>
    </w:p>
    <w:p w14:paraId="53138E79">
      <w:pPr>
        <w:jc w:val="both"/>
        <w:rPr>
          <w:color w:val="000000"/>
        </w:rPr>
      </w:pPr>
      <w:r>
        <w:rPr>
          <w:b/>
          <w:color w:val="000000"/>
        </w:rPr>
        <w:t>26.4.4.</w:t>
      </w:r>
      <w:r>
        <w:rPr>
          <w:color w:val="000000"/>
        </w:rPr>
        <w:t xml:space="preserve">  Se a operação implicar mudança da pessoa jurídica contratada, deverá ser formalizado termo aditivo para alteração subjetiva.</w:t>
      </w:r>
    </w:p>
    <w:p w14:paraId="635C6380">
      <w:pPr>
        <w:jc w:val="both"/>
        <w:rPr>
          <w:color w:val="000000"/>
        </w:rPr>
      </w:pPr>
    </w:p>
    <w:p w14:paraId="2C7A1E4A">
      <w:pPr>
        <w:jc w:val="both"/>
        <w:rPr>
          <w:color w:val="000000"/>
        </w:rPr>
      </w:pPr>
      <w:r>
        <w:rPr>
          <w:b/>
          <w:color w:val="000000"/>
        </w:rPr>
        <w:t>26.5.</w:t>
      </w:r>
      <w:r>
        <w:rPr>
          <w:color w:val="000000"/>
        </w:rPr>
        <w:t xml:space="preserve"> A extinção determinada por ato unilateral da Administração e a extinção consensual deverão ser precedidas de autorização escrita e fundamentada da autoridade competente e reduzidas a termo no respectivo processo.</w:t>
      </w:r>
    </w:p>
    <w:p w14:paraId="63E8C869">
      <w:pPr>
        <w:jc w:val="both"/>
        <w:rPr>
          <w:color w:val="000000"/>
        </w:rPr>
      </w:pPr>
    </w:p>
    <w:p w14:paraId="745D4194">
      <w:pPr>
        <w:jc w:val="both"/>
        <w:rPr>
          <w:color w:val="000000"/>
        </w:rPr>
      </w:pPr>
      <w:r>
        <w:rPr>
          <w:b/>
          <w:color w:val="000000"/>
        </w:rPr>
        <w:t>26.6.</w:t>
      </w:r>
      <w:r>
        <w:rPr>
          <w:color w:val="000000"/>
        </w:rPr>
        <w:t xml:space="preserve"> 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38A9B803">
      <w:pPr>
        <w:jc w:val="both"/>
        <w:rPr>
          <w:color w:val="000000"/>
        </w:rPr>
      </w:pPr>
    </w:p>
    <w:p w14:paraId="62051EA2">
      <w:pPr>
        <w:jc w:val="both"/>
        <w:rPr>
          <w:color w:val="000000"/>
        </w:rPr>
      </w:pPr>
      <w:r>
        <w:rPr>
          <w:b/>
          <w:color w:val="000000"/>
        </w:rPr>
        <w:t>26.7.</w:t>
      </w:r>
      <w:r>
        <w:rPr>
          <w:color w:val="000000"/>
        </w:rPr>
        <w:t xml:space="preserve"> A extinção do contrato não configura óbice para o reconhecimento do desequilíbrio econômico-financeiro, hipótese em que será concedida indenização por meio de termo indenizatório (Art. 131, caput, da Lei nº 14.133, de 2021).</w:t>
      </w:r>
    </w:p>
    <w:p w14:paraId="4840934A">
      <w:pPr>
        <w:pStyle w:val="2"/>
        <w:jc w:val="both"/>
        <w:rPr>
          <w:rFonts w:ascii="Arial" w:hAnsi="Arial" w:cs="Arial"/>
          <w:b/>
          <w:color w:val="000000"/>
          <w:sz w:val="24"/>
          <w:szCs w:val="24"/>
        </w:rPr>
      </w:pPr>
      <w:r>
        <w:rPr>
          <w:rFonts w:ascii="Arial" w:hAnsi="Arial" w:cs="Arial"/>
          <w:b/>
          <w:sz w:val="24"/>
          <w:szCs w:val="24"/>
        </w:rPr>
        <w:t xml:space="preserve">27. </w:t>
      </w:r>
      <w:r>
        <w:rPr>
          <w:rFonts w:ascii="Arial" w:hAnsi="Arial" w:cs="Arial"/>
          <w:b/>
          <w:color w:val="000000"/>
          <w:sz w:val="24"/>
          <w:szCs w:val="24"/>
        </w:rPr>
        <w:t>DO REAJUSTAMENTO, REPACTUAÇÃO, REVISÃO, SUPRESSÕES E ACRÉSCIMOS:</w:t>
      </w:r>
    </w:p>
    <w:p w14:paraId="705F6BE0">
      <w:pPr>
        <w:jc w:val="both"/>
        <w:rPr>
          <w:b/>
        </w:rPr>
      </w:pPr>
    </w:p>
    <w:p w14:paraId="17BA6318">
      <w:pPr>
        <w:jc w:val="both"/>
      </w:pPr>
      <w:r>
        <w:rPr>
          <w:b/>
        </w:rPr>
        <w:t>27.1 DO CRITÉRIO DE REAJUSTE:</w:t>
      </w:r>
    </w:p>
    <w:p w14:paraId="647846CA">
      <w:pPr>
        <w:autoSpaceDE w:val="0"/>
        <w:jc w:val="both"/>
        <w:rPr>
          <w:b/>
        </w:rPr>
      </w:pPr>
    </w:p>
    <w:p w14:paraId="7540A0A0">
      <w:pPr>
        <w:autoSpaceDE w:val="0"/>
        <w:jc w:val="both"/>
      </w:pPr>
      <w:r>
        <w:rPr>
          <w:b/>
        </w:rPr>
        <w:t>27.1.1.</w:t>
      </w:r>
      <w:r>
        <w:t xml:space="preserve"> Os preços inicialmente contratados são fixos e irreajustáveis pelo prazo de um ano contado da data do orçamento estimado.</w:t>
      </w:r>
    </w:p>
    <w:p w14:paraId="4B5F13E2">
      <w:pPr>
        <w:autoSpaceDE w:val="0"/>
        <w:jc w:val="both"/>
      </w:pPr>
    </w:p>
    <w:p w14:paraId="198AA563">
      <w:pPr>
        <w:pStyle w:val="263"/>
        <w:widowControl w:val="0"/>
        <w:tabs>
          <w:tab w:val="left" w:pos="426"/>
        </w:tabs>
        <w:jc w:val="both"/>
        <w:rPr>
          <w:rFonts w:ascii="Arial" w:hAnsi="Arial" w:cs="Arial"/>
        </w:rPr>
      </w:pPr>
      <w:r>
        <w:rPr>
          <w:rFonts w:ascii="Arial" w:hAnsi="Arial" w:cs="Arial"/>
          <w:b/>
          <w:bCs/>
          <w:iCs/>
          <w:spacing w:val="-1"/>
          <w:lang w:eastAsia="pt-BR"/>
        </w:rPr>
        <w:t>27.1.1.1.</w:t>
      </w:r>
      <w:r>
        <w:rPr>
          <w:rFonts w:ascii="Arial" w:hAnsi="Arial" w:cs="Arial"/>
          <w:bCs/>
          <w:iCs/>
          <w:spacing w:val="-1"/>
          <w:lang w:eastAsia="pt-BR"/>
        </w:rPr>
        <w:t xml:space="preserve"> </w:t>
      </w:r>
      <w:r>
        <w:rPr>
          <w:rFonts w:ascii="Arial" w:hAnsi="Arial" w:cs="Arial"/>
          <w:iCs/>
          <w:spacing w:val="-1"/>
          <w:lang w:eastAsia="pt-BR"/>
        </w:rPr>
        <w:t>Considera-se preço registrado aquele atribuído ao produto, incluindo todas as despesas tais como: tributos (impostos, taxas, emolumentos, contribuições fiscais e para fiscais) e</w:t>
      </w:r>
      <w:r>
        <w:rPr>
          <w:rFonts w:ascii="Arial" w:hAnsi="Arial" w:cs="Arial"/>
        </w:rPr>
        <w:t xml:space="preserve"> qualquer despesa, acessória e/ou complementar e outras não especificadas neste edital, mas que incidam no cumprimento das obrigações assumidas pela empresa detentora da Ata na execução da mesma.</w:t>
      </w:r>
    </w:p>
    <w:p w14:paraId="76F78A19">
      <w:pPr>
        <w:autoSpaceDE w:val="0"/>
        <w:jc w:val="both"/>
      </w:pPr>
    </w:p>
    <w:p w14:paraId="1179D7B2">
      <w:pPr>
        <w:autoSpaceDE w:val="0"/>
        <w:jc w:val="both"/>
      </w:pPr>
      <w:r>
        <w:rPr>
          <w:b/>
        </w:rPr>
        <w:t>27.1.2.</w:t>
      </w:r>
      <w:r>
        <w:t xml:space="preserve"> Após o interregno de 1 (um) ano, os preços iniciais serão reajustados, mediante a aplicação, pelo contratante, do Índice de Nacional de Preços ao Consumidor Amplo (IPCA) ou Índice Geral de Preços – Mercado (IGP-M), sendo que sempre será utilizado o índice de menor percentual, exclusivamente para as obrigações iniciadas e concluídas após a ocorrência da anualidade. </w:t>
      </w:r>
    </w:p>
    <w:p w14:paraId="6F33DD66">
      <w:pPr>
        <w:autoSpaceDE w:val="0"/>
        <w:jc w:val="both"/>
      </w:pPr>
    </w:p>
    <w:p w14:paraId="691E420E">
      <w:pPr>
        <w:autoSpaceDE w:val="0"/>
        <w:jc w:val="both"/>
      </w:pPr>
      <w:r>
        <w:rPr>
          <w:b/>
        </w:rPr>
        <w:t>27.1.3.</w:t>
      </w:r>
      <w:r>
        <w:t xml:space="preserve"> Os reajustes deverão ser precedidos de solicitação do contratado, acompanhada de memorial do cálculo.</w:t>
      </w:r>
    </w:p>
    <w:p w14:paraId="48D8F9F6">
      <w:pPr>
        <w:autoSpaceDE w:val="0"/>
        <w:jc w:val="both"/>
        <w:rPr>
          <w:b/>
        </w:rPr>
      </w:pPr>
    </w:p>
    <w:p w14:paraId="46FA3B44">
      <w:pPr>
        <w:autoSpaceDE w:val="0"/>
        <w:jc w:val="both"/>
      </w:pPr>
      <w:r>
        <w:rPr>
          <w:b/>
        </w:rPr>
        <w:t>27.1.4.</w:t>
      </w:r>
      <w:r>
        <w:t xml:space="preserve"> No caso de atraso ou não divulgação do(s) índice (s) de reajustamento, o contratante pagará ao contratado a importância calculada pela última variação conhecida, liquidando a diferença correspondente tão logo seja(m) divulgado(s) o(s) índice(s) definitivo(s).</w:t>
      </w:r>
    </w:p>
    <w:p w14:paraId="08C084EF">
      <w:pPr>
        <w:autoSpaceDE w:val="0"/>
        <w:jc w:val="both"/>
      </w:pPr>
    </w:p>
    <w:p w14:paraId="5CB88782">
      <w:pPr>
        <w:autoSpaceDE w:val="0"/>
        <w:jc w:val="both"/>
      </w:pPr>
      <w:r>
        <w:rPr>
          <w:b/>
        </w:rPr>
        <w:t>27.1.5.</w:t>
      </w:r>
      <w:r>
        <w:t xml:space="preserve"> Caso o(s) índice(s) estabelecido(s) para reajustamento venha(m) a ser extinto(s) ou de qualquer forma não possa(m) mais ser utilizado(s), será(ão) adotado(s), em substituição, o(s) que vier(em) a ser determinado(s) pela legislação então em vigor.</w:t>
      </w:r>
    </w:p>
    <w:p w14:paraId="2E337965">
      <w:pPr>
        <w:autoSpaceDE w:val="0"/>
        <w:jc w:val="both"/>
      </w:pPr>
    </w:p>
    <w:p w14:paraId="07C4D224">
      <w:pPr>
        <w:autoSpaceDE w:val="0"/>
        <w:jc w:val="both"/>
      </w:pPr>
      <w:r>
        <w:rPr>
          <w:b/>
        </w:rPr>
        <w:t>27.1.6.</w:t>
      </w:r>
      <w:r>
        <w:t xml:space="preserve"> Na ausência de previsão legal quanto ao índice substituto, as partes elegerão novo índice oficial, para reajustamento do preço do valor remanescente, por meio de termo aditivo.</w:t>
      </w:r>
    </w:p>
    <w:p w14:paraId="35004878">
      <w:pPr>
        <w:jc w:val="both"/>
      </w:pPr>
      <w:r>
        <w:rPr>
          <w:b/>
        </w:rPr>
        <w:t>27.1.7</w:t>
      </w:r>
      <w:r>
        <w:t>. O reajuste será realizado por apostilamento.</w:t>
      </w:r>
    </w:p>
    <w:p w14:paraId="66E8EE4C">
      <w:pPr>
        <w:jc w:val="both"/>
      </w:pPr>
    </w:p>
    <w:p w14:paraId="110AB720">
      <w:pPr>
        <w:jc w:val="both"/>
        <w:rPr>
          <w:b/>
          <w:color w:val="000000"/>
        </w:rPr>
      </w:pPr>
      <w:r>
        <w:rPr>
          <w:b/>
        </w:rPr>
        <w:t xml:space="preserve">27.2. </w:t>
      </w:r>
      <w:r>
        <w:rPr>
          <w:b/>
          <w:color w:val="000000"/>
        </w:rPr>
        <w:t>DA REVISÃO:</w:t>
      </w:r>
    </w:p>
    <w:p w14:paraId="631FEE1C">
      <w:pPr>
        <w:jc w:val="both"/>
        <w:rPr>
          <w:color w:val="000000"/>
        </w:rPr>
      </w:pPr>
    </w:p>
    <w:p w14:paraId="5AFE9DCF">
      <w:pPr>
        <w:ind w:left="284"/>
        <w:jc w:val="both"/>
        <w:rPr>
          <w:color w:val="000000"/>
        </w:rPr>
      </w:pPr>
      <w:r>
        <w:rPr>
          <w:b/>
          <w:color w:val="000000"/>
        </w:rPr>
        <w:t>27.2.1.</w:t>
      </w:r>
      <w:r>
        <w:rPr>
          <w:color w:val="000000"/>
        </w:rPr>
        <w:t xml:space="preserve"> O contrato poderá ser alterado na forma do artigo 124 e seguintes da Lei nº 14.133/2021 e Decreto Municipal nº 11.685/2023.</w:t>
      </w:r>
    </w:p>
    <w:p w14:paraId="74F8EEC7">
      <w:pPr>
        <w:ind w:left="284"/>
        <w:jc w:val="both"/>
        <w:rPr>
          <w:color w:val="000000"/>
        </w:rPr>
      </w:pPr>
    </w:p>
    <w:p w14:paraId="0CED4DAB">
      <w:pPr>
        <w:ind w:left="284"/>
        <w:jc w:val="both"/>
        <w:rPr>
          <w:color w:val="000000"/>
        </w:rPr>
      </w:pPr>
      <w:r>
        <w:rPr>
          <w:b/>
          <w:color w:val="000000"/>
        </w:rPr>
        <w:t>27.2.2.</w:t>
      </w:r>
      <w:r>
        <w:rPr>
          <w:color w:val="000000"/>
        </w:rPr>
        <w:t xml:space="preserve"> A contratada é obrigada a aceitar, nas mesmas condições contratuais, os acréscimos ou supressões que se fizerem necessários, até o limite de 25% (vinte e cinco por cento) do valor inicial atualizado do contrato.</w:t>
      </w:r>
    </w:p>
    <w:p w14:paraId="06C958E4">
      <w:pPr>
        <w:ind w:left="284"/>
        <w:jc w:val="both"/>
        <w:rPr>
          <w:color w:val="000000"/>
        </w:rPr>
      </w:pPr>
    </w:p>
    <w:p w14:paraId="7563C60B">
      <w:pPr>
        <w:ind w:left="284"/>
        <w:jc w:val="both"/>
        <w:rPr>
          <w:color w:val="000000"/>
        </w:rPr>
      </w:pPr>
      <w:r>
        <w:rPr>
          <w:b/>
          <w:color w:val="000000"/>
        </w:rPr>
        <w:t>27.2.3.</w:t>
      </w:r>
      <w:r>
        <w:rPr>
          <w:color w:val="000000"/>
        </w:rPr>
        <w:t xml:space="preserve"> Registros que não caracterizam alteração do contrato podem ser realizados por simples apostila, dispensada a celebração de termo aditivo, na forma do artigo 136 da Lei nº 14.133, de 2021.</w:t>
      </w:r>
    </w:p>
    <w:p w14:paraId="0FB17C13">
      <w:pPr>
        <w:ind w:left="284"/>
        <w:jc w:val="both"/>
        <w:rPr>
          <w:color w:val="000000"/>
        </w:rPr>
      </w:pPr>
    </w:p>
    <w:p w14:paraId="26F1A3EB">
      <w:pPr>
        <w:ind w:left="284"/>
        <w:jc w:val="both"/>
        <w:rPr>
          <w:color w:val="000000"/>
        </w:rPr>
      </w:pPr>
      <w:r>
        <w:rPr>
          <w:b/>
          <w:color w:val="000000"/>
        </w:rPr>
        <w:t>27.2.4.</w:t>
      </w:r>
      <w:r>
        <w:rPr>
          <w:color w:val="000000"/>
        </w:rPr>
        <w:t xml:space="preserve"> Durante a vigência do contrato a contratada poderá solicitar a revisão dos preços para manter o equilíbrio econômico-financeiro obtido na licitação, mediante a comprovação dos fatos previstos no artigo 124, inciso II, alínea “d”, da Lei nº 14.133/2021, conforme cláusula décima primeira+</w:t>
      </w:r>
    </w:p>
    <w:p w14:paraId="1F2A3EFF">
      <w:pPr>
        <w:ind w:left="284"/>
        <w:jc w:val="both"/>
        <w:rPr>
          <w:color w:val="000000"/>
        </w:rPr>
      </w:pPr>
    </w:p>
    <w:p w14:paraId="32BF8132">
      <w:pPr>
        <w:ind w:left="284"/>
        <w:jc w:val="both"/>
        <w:rPr>
          <w:color w:val="000000"/>
        </w:rPr>
      </w:pPr>
      <w:r>
        <w:rPr>
          <w:b/>
          <w:color w:val="000000"/>
        </w:rPr>
        <w:t>27.2.5.</w:t>
      </w:r>
      <w:r>
        <w:rPr>
          <w:color w:val="000000"/>
        </w:rPr>
        <w:t xml:space="preserve"> Os preços registrados poderão ser revisados para reestabelecer o equilíbrio econômico-financeiro quando, por motivo superveniente, restarem inviáveis de serem praticados em razão de força maior, caso fortuito, fato do príncipe ou fatos imprevisíveis ou previsíveis de consequências incalculáveis. </w:t>
      </w:r>
    </w:p>
    <w:p w14:paraId="77CC3CB8">
      <w:pPr>
        <w:ind w:left="284"/>
        <w:jc w:val="both"/>
        <w:rPr>
          <w:color w:val="000000"/>
        </w:rPr>
      </w:pPr>
    </w:p>
    <w:p w14:paraId="71424BB6">
      <w:pPr>
        <w:ind w:left="284"/>
        <w:jc w:val="both"/>
        <w:rPr>
          <w:color w:val="000000"/>
        </w:rPr>
      </w:pPr>
      <w:r>
        <w:rPr>
          <w:b/>
          <w:color w:val="000000"/>
        </w:rPr>
        <w:t>27.2.6.</w:t>
      </w:r>
      <w:r>
        <w:rPr>
          <w:color w:val="000000"/>
        </w:rPr>
        <w:t xml:space="preserve"> Os fornecedores que não aceitarem reduzir seus preços aos valores praticados pelo mercado serão liberados do compromisso assumido, sem aplicação de penalidade. </w:t>
      </w:r>
    </w:p>
    <w:p w14:paraId="175F827A">
      <w:pPr>
        <w:ind w:left="284"/>
        <w:jc w:val="both"/>
        <w:rPr>
          <w:color w:val="000000"/>
        </w:rPr>
      </w:pPr>
    </w:p>
    <w:p w14:paraId="461D3173">
      <w:pPr>
        <w:ind w:left="284"/>
        <w:jc w:val="both"/>
        <w:rPr>
          <w:color w:val="000000"/>
        </w:rPr>
      </w:pPr>
      <w:r>
        <w:rPr>
          <w:b/>
          <w:color w:val="000000"/>
        </w:rPr>
        <w:t>27.2.7.</w:t>
      </w:r>
      <w:r>
        <w:rPr>
          <w:color w:val="000000"/>
        </w:rPr>
        <w:t xml:space="preserve"> O pedido de revisão de preços será processado e julgado pelo Órgão Gerenciador. </w:t>
      </w:r>
    </w:p>
    <w:p w14:paraId="68FEEC48">
      <w:pPr>
        <w:ind w:left="284"/>
        <w:jc w:val="both"/>
        <w:rPr>
          <w:color w:val="000000"/>
        </w:rPr>
      </w:pPr>
    </w:p>
    <w:p w14:paraId="16BB6864">
      <w:pPr>
        <w:ind w:left="284"/>
        <w:jc w:val="both"/>
        <w:rPr>
          <w:color w:val="000000"/>
        </w:rPr>
      </w:pPr>
      <w:r>
        <w:rPr>
          <w:b/>
          <w:color w:val="000000"/>
        </w:rPr>
        <w:t xml:space="preserve">27.2.8. </w:t>
      </w:r>
      <w:r>
        <w:rPr>
          <w:color w:val="000000"/>
        </w:rPr>
        <w:t>Nos casos em que a majoração do preço for pleiteada pela DETENTORA, o ÓRGÃO GERENCIADOR analisará a solicitação de revisão do preço registrado a partir da fundamentação e do conjunto probatório apresentados, em cotejo com pesquisa de mercado atualizada e diligências que se mostrem necessárias para avaliação do pedido, mantendo a economia obtida no procedimento licitatório.</w:t>
      </w:r>
    </w:p>
    <w:p w14:paraId="2EA07CD3">
      <w:pPr>
        <w:ind w:left="284"/>
        <w:jc w:val="both"/>
        <w:rPr>
          <w:color w:val="000000"/>
        </w:rPr>
      </w:pPr>
    </w:p>
    <w:p w14:paraId="5DE182D7">
      <w:pPr>
        <w:ind w:left="284"/>
        <w:jc w:val="both"/>
        <w:rPr>
          <w:color w:val="000000"/>
          <w:u w:val="single"/>
        </w:rPr>
      </w:pPr>
      <w:r>
        <w:rPr>
          <w:b/>
          <w:color w:val="000000"/>
        </w:rPr>
        <w:t>27.2.9.</w:t>
      </w:r>
      <w:r>
        <w:rPr>
          <w:color w:val="000000"/>
        </w:rPr>
        <w:t xml:space="preserve"> </w:t>
      </w:r>
      <w:r>
        <w:rPr>
          <w:color w:val="000000"/>
          <w:u w:val="single"/>
        </w:rPr>
        <w:t>Após 30 (trinta) dias do aceite do requerimento de revisão pelo ÓRGÃO GERENCIADOR, e sem manifestação conclusiva deste, poderá a DETENTORA comunicar formalmente ao ÓRGÃO GERENCIADOR a recusa de novos pedidos de entrega de bens ou de prestação de serviços.</w:t>
      </w:r>
    </w:p>
    <w:p w14:paraId="7CD7A73D">
      <w:pPr>
        <w:ind w:left="284"/>
        <w:jc w:val="both"/>
        <w:rPr>
          <w:color w:val="000000"/>
        </w:rPr>
      </w:pPr>
    </w:p>
    <w:p w14:paraId="60AB8035">
      <w:pPr>
        <w:ind w:left="284"/>
        <w:jc w:val="both"/>
        <w:rPr>
          <w:color w:val="000000"/>
        </w:rPr>
      </w:pPr>
      <w:r>
        <w:rPr>
          <w:b/>
          <w:color w:val="000000"/>
        </w:rPr>
        <w:t>27.2.10.</w:t>
      </w:r>
      <w:r>
        <w:rPr>
          <w:color w:val="000000"/>
        </w:rPr>
        <w:t xml:space="preserve"> Durante este prazo de 30 dias, a DETENTORA fica obrigado a manter as condições pactuadas quando da assinatura da ata.</w:t>
      </w:r>
    </w:p>
    <w:p w14:paraId="2E625D9A">
      <w:pPr>
        <w:ind w:left="284"/>
        <w:jc w:val="both"/>
        <w:rPr>
          <w:color w:val="000000"/>
        </w:rPr>
      </w:pPr>
    </w:p>
    <w:p w14:paraId="0EADA973">
      <w:pPr>
        <w:ind w:left="284"/>
        <w:jc w:val="both"/>
        <w:rPr>
          <w:color w:val="000000"/>
        </w:rPr>
      </w:pPr>
      <w:r>
        <w:rPr>
          <w:b/>
          <w:color w:val="000000"/>
        </w:rPr>
        <w:t>27.2.11.</w:t>
      </w:r>
      <w:r>
        <w:rPr>
          <w:color w:val="000000"/>
        </w:rPr>
        <w:t xml:space="preserve"> Ocorrendo umas das hipóteses previstas na alínea “d” do inciso II do artigo 124 da Lei n. 14.133/2021, poderá haver a repactuação, reajuste, revisão ou realinhamento, onde deverão ser precedidos de demonstração analítica do aumento dos custos, bem como análise Técnico Contábil do setor Financeiro e Jurídica da Assessoria Jurídica deste Município.</w:t>
      </w:r>
    </w:p>
    <w:p w14:paraId="374A65B6">
      <w:pPr>
        <w:ind w:left="284"/>
        <w:jc w:val="both"/>
        <w:rPr>
          <w:color w:val="000000"/>
        </w:rPr>
      </w:pPr>
    </w:p>
    <w:p w14:paraId="3C2CD527">
      <w:pPr>
        <w:ind w:left="284"/>
        <w:jc w:val="both"/>
        <w:rPr>
          <w:color w:val="000000"/>
          <w:u w:val="single"/>
        </w:rPr>
      </w:pPr>
      <w:r>
        <w:rPr>
          <w:b/>
          <w:color w:val="000000"/>
          <w:u w:val="single"/>
        </w:rPr>
        <w:t>27.2.11.1.</w:t>
      </w:r>
      <w:r>
        <w:rPr>
          <w:color w:val="000000"/>
          <w:u w:val="single"/>
        </w:rPr>
        <w:t xml:space="preserve"> O prazo para resposta ao pedido de repactuação de preços, quando for o caso, será de até 30 (trinta) úteis dias prorrogáveis por igual período. (Art. 92 Inciso X da Lei 14.133/2021).</w:t>
      </w:r>
    </w:p>
    <w:p w14:paraId="1EFA1170">
      <w:pPr>
        <w:ind w:left="284"/>
        <w:jc w:val="both"/>
        <w:rPr>
          <w:color w:val="000000"/>
          <w:u w:val="single"/>
        </w:rPr>
      </w:pPr>
    </w:p>
    <w:p w14:paraId="7A7BA81C">
      <w:pPr>
        <w:ind w:left="284"/>
        <w:jc w:val="both"/>
        <w:rPr>
          <w:color w:val="000000"/>
          <w:u w:val="single"/>
        </w:rPr>
      </w:pPr>
      <w:r>
        <w:rPr>
          <w:b/>
          <w:color w:val="000000"/>
          <w:u w:val="single"/>
        </w:rPr>
        <w:t>27.2.11.2.</w:t>
      </w:r>
      <w:r>
        <w:rPr>
          <w:color w:val="000000"/>
          <w:u w:val="single"/>
        </w:rPr>
        <w:t xml:space="preserve"> O prazo para resposta ao pedido de restabelecimento do equilíbrio econômico-financeiro, quando for o caso¸ será de até 30 (trinta) úteis dias prorrogáveis por igual período. (Art. 92 Inciso XI da Lei 14.133/2021).</w:t>
      </w:r>
    </w:p>
    <w:p w14:paraId="74ED43BD">
      <w:pPr>
        <w:jc w:val="both"/>
      </w:pPr>
    </w:p>
    <w:p w14:paraId="4D4C9661">
      <w:pPr>
        <w:pStyle w:val="2"/>
        <w:autoSpaceDE w:val="0"/>
        <w:spacing w:before="0" w:after="0"/>
        <w:rPr>
          <w:rFonts w:ascii="Arial" w:hAnsi="Arial" w:eastAsia="SimSun" w:cs="Arial"/>
          <w:b/>
          <w:bCs/>
          <w:color w:val="000000" w:themeColor="text1"/>
          <w:sz w:val="24"/>
          <w:szCs w:val="24"/>
          <w14:textFill>
            <w14:solidFill>
              <w14:schemeClr w14:val="tx1"/>
            </w14:solidFill>
          </w14:textFill>
        </w:rPr>
      </w:pPr>
      <w:bookmarkStart w:id="29" w:name="__RefHeading___Toc190782031"/>
      <w:bookmarkEnd w:id="29"/>
      <w:r>
        <w:rPr>
          <w:rFonts w:ascii="Arial" w:hAnsi="Arial" w:eastAsia="SimSun" w:cs="Arial"/>
          <w:b/>
          <w:bCs/>
          <w:color w:val="000000" w:themeColor="text1"/>
          <w:sz w:val="24"/>
          <w:szCs w:val="24"/>
          <w14:textFill>
            <w14:solidFill>
              <w14:schemeClr w14:val="tx1"/>
            </w14:solidFill>
          </w14:textFill>
        </w:rPr>
        <w:t>28. DA GARANTIA DO OBJETO:</w:t>
      </w:r>
    </w:p>
    <w:p w14:paraId="0E31F6A9">
      <w:pPr>
        <w:rPr>
          <w:rFonts w:eastAsia="SimSun"/>
          <w:lang w:val="en-US"/>
        </w:rPr>
      </w:pPr>
    </w:p>
    <w:p w14:paraId="2DD068B1">
      <w:pPr>
        <w:jc w:val="both"/>
      </w:pPr>
      <w:r>
        <w:rPr>
          <w:b/>
          <w:color w:val="000000"/>
        </w:rPr>
        <w:t>28.1.</w:t>
      </w:r>
      <w:r>
        <w:rPr>
          <w:color w:val="000000"/>
        </w:rPr>
        <w:t xml:space="preserve"> </w:t>
      </w:r>
      <w:r>
        <w:t xml:space="preserve">A Contratada se obriga a garantir o material pelo período de </w:t>
      </w:r>
      <w:r>
        <w:rPr>
          <w:highlight w:val="yellow"/>
        </w:rPr>
        <w:t>12 (doze) meses após</w:t>
      </w:r>
      <w:r>
        <w:t xml:space="preserve"> instalação e aceitação, contados da data do recebimento do(s) mesmo(s), quando o material ainda não for aplicado e estiver em estoque.</w:t>
      </w:r>
    </w:p>
    <w:p w14:paraId="2F4D2A17">
      <w:pPr>
        <w:jc w:val="both"/>
      </w:pPr>
    </w:p>
    <w:p w14:paraId="3E547B63">
      <w:pPr>
        <w:jc w:val="both"/>
      </w:pPr>
      <w:r>
        <w:rPr>
          <w:b/>
        </w:rPr>
        <w:t>28.2</w:t>
      </w:r>
      <w:r>
        <w:t xml:space="preserve"> Os prazos de garantia iniciarão a partir da data da emissão do termo de recebimento definitivo dos produtos/serviços pelo Contratante.</w:t>
      </w:r>
    </w:p>
    <w:p w14:paraId="4A0E664C">
      <w:pPr>
        <w:jc w:val="both"/>
      </w:pPr>
    </w:p>
    <w:p w14:paraId="25774994">
      <w:pPr>
        <w:jc w:val="both"/>
      </w:pPr>
      <w:r>
        <w:rPr>
          <w:b/>
        </w:rPr>
        <w:t>28.3</w:t>
      </w:r>
      <w:r>
        <w:t xml:space="preserve"> Caso seja detectado defeitos ou falhas sistemáticas em determinados produtos entregues pela Contratada ou ainda em testes realizados seja considerado em desacordo com as especificações técnicas requeridas, o Contratante poderá exigir a substituição do produto total ou parcial no prazo de até 5 (cinco) dias úteis a partir da Notificação.</w:t>
      </w:r>
    </w:p>
    <w:p w14:paraId="6C4E6FAE">
      <w:pPr>
        <w:jc w:val="both"/>
      </w:pPr>
    </w:p>
    <w:p w14:paraId="181F59E7">
      <w:pPr>
        <w:jc w:val="both"/>
      </w:pPr>
      <w:r>
        <w:rPr>
          <w:b/>
        </w:rPr>
        <w:t>28.4</w:t>
      </w:r>
      <w:r>
        <w:t xml:space="preserve"> Todas as despesas que ocorrerem no período de garantia, tais como: conserto, substituição de peças, transporte, mão de obra e manutenção dos materiais, no caso de apresentar(em) imperfeição(ões), correrão por conta da CONTRATADA, não cabendo ao CONTRATANTE quaisquer ônus.</w:t>
      </w:r>
    </w:p>
    <w:p w14:paraId="003F245D">
      <w:pPr>
        <w:pStyle w:val="2"/>
        <w:rPr>
          <w:rFonts w:ascii="Arial" w:hAnsi="Arial" w:eastAsia="SimSun" w:cs="Arial"/>
          <w:b/>
          <w:bCs/>
          <w:color w:val="000000" w:themeColor="text1"/>
          <w:sz w:val="24"/>
          <w:szCs w:val="24"/>
          <w14:textFill>
            <w14:solidFill>
              <w14:schemeClr w14:val="tx1"/>
            </w14:solidFill>
          </w14:textFill>
        </w:rPr>
      </w:pPr>
      <w:r>
        <w:rPr>
          <w:rFonts w:ascii="Arial" w:hAnsi="Arial" w:eastAsia="SimSun" w:cs="Arial"/>
          <w:b/>
          <w:bCs/>
          <w:color w:val="000000" w:themeColor="text1"/>
          <w:sz w:val="24"/>
          <w:szCs w:val="24"/>
          <w14:textFill>
            <w14:solidFill>
              <w14:schemeClr w14:val="tx1"/>
            </w14:solidFill>
          </w14:textFill>
        </w:rPr>
        <w:t>29. DA GARANTIA DA EXECUÇÃO:</w:t>
      </w:r>
    </w:p>
    <w:p w14:paraId="79BEE24B">
      <w:pPr>
        <w:rPr>
          <w:rFonts w:eastAsia="SimSun"/>
        </w:rPr>
      </w:pPr>
    </w:p>
    <w:p w14:paraId="1162B9D0">
      <w:pPr>
        <w:jc w:val="both"/>
        <w:rPr>
          <w:rFonts w:eastAsia="SimSun"/>
        </w:rPr>
      </w:pPr>
      <w:r>
        <w:rPr>
          <w:rFonts w:eastAsia="SimSun"/>
        </w:rPr>
        <w:t>29.1. Não haverá exigência de garantia contratual da execução, considerando, conforme análise de riscos, o baixo risco para a contratação.</w:t>
      </w:r>
    </w:p>
    <w:p w14:paraId="137F129E"/>
    <w:p w14:paraId="0CFA0622">
      <w:pPr>
        <w:pStyle w:val="2"/>
        <w:autoSpaceDE w:val="0"/>
        <w:spacing w:before="0" w:after="0"/>
        <w:rPr>
          <w:rFonts w:ascii="Arial" w:hAnsi="Arial" w:cs="Arial"/>
          <w:b/>
          <w:bCs/>
          <w:color w:val="000000" w:themeColor="text1"/>
          <w:sz w:val="24"/>
          <w:szCs w:val="24"/>
          <w14:textFill>
            <w14:solidFill>
              <w14:schemeClr w14:val="tx1"/>
            </w14:solidFill>
          </w14:textFill>
        </w:rPr>
      </w:pPr>
      <w:r>
        <w:rPr>
          <w:rFonts w:ascii="Arial" w:hAnsi="Arial" w:eastAsia="SimSun" w:cs="Arial"/>
          <w:b/>
          <w:bCs/>
          <w:color w:val="000000" w:themeColor="text1"/>
          <w:sz w:val="24"/>
          <w:szCs w:val="24"/>
          <w14:textFill>
            <w14:solidFill>
              <w14:schemeClr w14:val="tx1"/>
            </w14:solidFill>
          </w14:textFill>
        </w:rPr>
        <w:t>30. DA IMPUGNAÇÃO AO EDITAL E DO PEDIDO DE ESCLARECIMENTO:</w:t>
      </w:r>
    </w:p>
    <w:p w14:paraId="6EC9FE01">
      <w:pPr>
        <w:jc w:val="both"/>
        <w:rPr>
          <w:rFonts w:eastAsia="SimSun"/>
          <w:b/>
          <w:color w:val="000000"/>
          <w:kern w:val="2"/>
        </w:rPr>
      </w:pPr>
    </w:p>
    <w:p w14:paraId="56224C7A">
      <w:pPr>
        <w:jc w:val="both"/>
      </w:pPr>
      <w:r>
        <w:rPr>
          <w:b/>
          <w:color w:val="000000"/>
        </w:rPr>
        <w:t>30.1.</w:t>
      </w:r>
      <w:r>
        <w:rPr>
          <w:color w:val="000000"/>
        </w:rPr>
        <w:t xml:space="preserve"> </w:t>
      </w:r>
      <w:r>
        <w:t xml:space="preserve">Qualquer pessoa é parte legítima para impugnar edital de licitação por irregularidade na aplicação da Lei ou para solicitar esclarecimento sobre os seus termos, devendo protocolar o pedido </w:t>
      </w:r>
      <w:r>
        <w:rPr>
          <w:color w:val="000000"/>
        </w:rPr>
        <w:t xml:space="preserve">exclusivamente na plataforma eletrônica </w:t>
      </w:r>
      <w:r>
        <w:fldChar w:fldCharType="begin"/>
      </w:r>
      <w:r>
        <w:instrText xml:space="preserve"> HYPERLINK "mailto:bllcompras.com" </w:instrText>
      </w:r>
      <w:r>
        <w:fldChar w:fldCharType="separate"/>
      </w:r>
      <w:r>
        <w:rPr>
          <w:rStyle w:val="19"/>
          <w:b/>
          <w:color w:val="000000"/>
        </w:rPr>
        <w:t>bllcompras.com</w:t>
      </w:r>
      <w:r>
        <w:rPr>
          <w:rStyle w:val="19"/>
          <w:b/>
          <w:color w:val="000000"/>
        </w:rPr>
        <w:fldChar w:fldCharType="end"/>
      </w:r>
      <w:r>
        <w:rPr>
          <w:b/>
          <w:color w:val="000000"/>
        </w:rPr>
        <w:t xml:space="preserve"> </w:t>
      </w:r>
      <w:r>
        <w:t>até 3 (três) dias úteis antes da data de abertura do certame. (Art. 164 da Lei 14.133, de 2021).</w:t>
      </w:r>
    </w:p>
    <w:p w14:paraId="7CDCC7BF">
      <w:pPr>
        <w:jc w:val="both"/>
      </w:pPr>
    </w:p>
    <w:p w14:paraId="3CE7EC03">
      <w:pPr>
        <w:jc w:val="both"/>
      </w:pPr>
      <w:r>
        <w:rPr>
          <w:b/>
          <w:color w:val="000000"/>
        </w:rPr>
        <w:t>30.2.</w:t>
      </w:r>
      <w:r>
        <w:rPr>
          <w:color w:val="000000"/>
        </w:rPr>
        <w:t xml:space="preserve"> A resposta à impugnação ou ao pedido de esclarecimento será divulgado no </w:t>
      </w:r>
      <w:r>
        <w:rPr>
          <w:b/>
          <w:color w:val="000000"/>
        </w:rPr>
        <w:t>site bllcompras.com</w:t>
      </w:r>
      <w:r>
        <w:rPr>
          <w:color w:val="000000"/>
        </w:rPr>
        <w:t>, no campo “</w:t>
      </w:r>
      <w:r>
        <w:rPr>
          <w:b/>
          <w:color w:val="000000"/>
        </w:rPr>
        <w:t>DOCUMENTOS</w:t>
      </w:r>
      <w:r>
        <w:rPr>
          <w:color w:val="000000"/>
        </w:rPr>
        <w:t>”, no link correspondente a este Edital, no prazo de até 3 (três) dias úteis, limitado ao último dia útil anterior à data da abertura do certame.</w:t>
      </w:r>
    </w:p>
    <w:p w14:paraId="28561239">
      <w:pPr>
        <w:autoSpaceDE w:val="0"/>
        <w:jc w:val="both"/>
        <w:rPr>
          <w:color w:val="000000"/>
        </w:rPr>
      </w:pPr>
    </w:p>
    <w:p w14:paraId="0905D41A">
      <w:pPr>
        <w:autoSpaceDE w:val="0"/>
        <w:jc w:val="both"/>
      </w:pPr>
      <w:r>
        <w:rPr>
          <w:b/>
          <w:bCs/>
          <w:color w:val="000000"/>
        </w:rPr>
        <w:t>30</w:t>
      </w:r>
      <w:r>
        <w:rPr>
          <w:b/>
          <w:bCs/>
        </w:rPr>
        <w:t>.3.</w:t>
      </w:r>
      <w:r>
        <w:t xml:space="preserve"> Na contagem dos prazos estabelecidos neste Edital e seus Anexos, excluir-se-á o dia do início e incluir-se-á o dia do vencimento. Só se iniciam e vencem os prazos em dias de expediente na Administração.</w:t>
      </w:r>
    </w:p>
    <w:p w14:paraId="3FA6902F">
      <w:pPr>
        <w:autoSpaceDE w:val="0"/>
        <w:ind w:left="284"/>
        <w:jc w:val="both"/>
        <w:rPr>
          <w:b/>
        </w:rPr>
      </w:pPr>
    </w:p>
    <w:p w14:paraId="73F63164">
      <w:pPr>
        <w:autoSpaceDE w:val="0"/>
        <w:ind w:left="284"/>
        <w:jc w:val="both"/>
      </w:pPr>
      <w:r>
        <w:rPr>
          <w:b/>
        </w:rPr>
        <w:t>30.3.1.</w:t>
      </w:r>
      <w:r>
        <w:t xml:space="preserve"> A contagem dos prazos para impugnar ou solicitar esclarecimento ao edital se dará da seguinte forma: o referido prazo será contado de trás para a frente, </w:t>
      </w:r>
      <w:r>
        <w:rPr>
          <w:u w:val="single"/>
        </w:rPr>
        <w:t>o dia do início será o da sessão pública</w:t>
      </w:r>
      <w:r>
        <w:t xml:space="preserve">, portanto, </w:t>
      </w:r>
      <w:r>
        <w:rPr>
          <w:u w:val="single"/>
        </w:rPr>
        <w:t>exclui-se da contagem</w:t>
      </w:r>
      <w:r>
        <w:t xml:space="preserve">, e </w:t>
      </w:r>
      <w:r>
        <w:rPr>
          <w:u w:val="single"/>
        </w:rPr>
        <w:t>inclui-se o dia do vencimento</w:t>
      </w:r>
      <w:r>
        <w:t xml:space="preserve">. Exemplo: em uma licitação marca para </w:t>
      </w:r>
      <w:r>
        <w:rPr>
          <w:u w:val="single"/>
        </w:rPr>
        <w:t>sexta feira</w:t>
      </w:r>
      <w:r>
        <w:t xml:space="preserve"> o dia do vencimento será na </w:t>
      </w:r>
      <w:r>
        <w:rPr>
          <w:u w:val="single"/>
        </w:rPr>
        <w:t>terça feira</w:t>
      </w:r>
      <w:r>
        <w:t>, considerando uma semana de expediente na Administração.</w:t>
      </w:r>
    </w:p>
    <w:p w14:paraId="46D1ACC2">
      <w:pPr>
        <w:autoSpaceDE w:val="0"/>
        <w:ind w:left="284"/>
        <w:jc w:val="both"/>
      </w:pPr>
    </w:p>
    <w:p w14:paraId="74DD69D0">
      <w:pPr>
        <w:autoSpaceDE w:val="0"/>
        <w:ind w:left="284"/>
        <w:jc w:val="both"/>
      </w:pPr>
      <w:r>
        <w:rPr>
          <w:b/>
        </w:rPr>
        <w:t xml:space="preserve">30.3.2. </w:t>
      </w:r>
      <w:r>
        <w:t>Os pedidos de impugnações e esclarecimentos solicitados fora do prazo estabelecido neste edital não serão reconhecidos.</w:t>
      </w:r>
    </w:p>
    <w:p w14:paraId="6D313A82">
      <w:pPr>
        <w:jc w:val="both"/>
        <w:rPr>
          <w:color w:val="000000"/>
        </w:rPr>
      </w:pPr>
    </w:p>
    <w:p w14:paraId="149E8770">
      <w:pPr>
        <w:jc w:val="both"/>
      </w:pPr>
      <w:r>
        <w:rPr>
          <w:b/>
          <w:color w:val="000000"/>
        </w:rPr>
        <w:t>30.4.</w:t>
      </w:r>
      <w:r>
        <w:rPr>
          <w:color w:val="000000"/>
        </w:rPr>
        <w:t xml:space="preserve">  </w:t>
      </w:r>
      <w:r>
        <w:t>As impugnações e pedidos de esclarecimentos não suspendem os prazos previstos no certame.</w:t>
      </w:r>
    </w:p>
    <w:p w14:paraId="20BE910E">
      <w:pPr>
        <w:jc w:val="both"/>
      </w:pPr>
    </w:p>
    <w:p w14:paraId="49CF96DC">
      <w:pPr>
        <w:jc w:val="both"/>
      </w:pPr>
      <w:r>
        <w:rPr>
          <w:b/>
          <w:color w:val="000000"/>
        </w:rPr>
        <w:t>30.5.</w:t>
      </w:r>
      <w:r>
        <w:rPr>
          <w:color w:val="000000"/>
        </w:rPr>
        <w:t xml:space="preserve">  </w:t>
      </w:r>
      <w:r>
        <w:t>A concessão de efeito suspensivo à impugnação é medida excepcional e deverá ser motivada pelo agente de contratação, nos autos do processo de licitação.</w:t>
      </w:r>
    </w:p>
    <w:p w14:paraId="3BDB486B">
      <w:pPr>
        <w:jc w:val="both"/>
      </w:pPr>
    </w:p>
    <w:p w14:paraId="66760A2F">
      <w:pPr>
        <w:jc w:val="both"/>
      </w:pPr>
      <w:r>
        <w:rPr>
          <w:b/>
          <w:color w:val="000000"/>
        </w:rPr>
        <w:t>30.6.</w:t>
      </w:r>
      <w:r>
        <w:rPr>
          <w:color w:val="000000"/>
        </w:rPr>
        <w:t xml:space="preserve">  </w:t>
      </w:r>
      <w:r>
        <w:t>Acolhida a impugnação, será definida e publicada nova data para a realização do certame.</w:t>
      </w:r>
    </w:p>
    <w:p w14:paraId="59719AB1">
      <w:pPr>
        <w:jc w:val="both"/>
        <w:rPr>
          <w:b/>
        </w:rPr>
      </w:pPr>
    </w:p>
    <w:p w14:paraId="76486E89">
      <w:pPr>
        <w:jc w:val="both"/>
      </w:pPr>
      <w:r>
        <w:rPr>
          <w:b/>
        </w:rPr>
        <w:t>30.7.</w:t>
      </w:r>
      <w:r>
        <w:t xml:space="preserve"> A impugnação não impede a impugnante de participar do processo licitatório até o trânsito em julgado da decisão a ela pertinente. </w:t>
      </w:r>
    </w:p>
    <w:p w14:paraId="53C56FBC">
      <w:pPr>
        <w:jc w:val="both"/>
      </w:pPr>
    </w:p>
    <w:p w14:paraId="585C63C6">
      <w:pPr>
        <w:jc w:val="both"/>
      </w:pPr>
      <w:r>
        <w:rPr>
          <w:b/>
        </w:rPr>
        <w:t>30.8.</w:t>
      </w:r>
      <w:r>
        <w:t xml:space="preserve"> Ocorrendo a impugnação de caráter meramente protelatório, ensejando assim o retardamento da execução do certame, a autoridade competente poderá, assegurado o contraditório e a ampla defesa, </w:t>
      </w:r>
      <w:r>
        <w:rPr>
          <w:color w:val="000000"/>
        </w:rPr>
        <w:t>aplicar a pena em conformidade com a legislação vigente.</w:t>
      </w:r>
    </w:p>
    <w:p w14:paraId="6B6C9305">
      <w:pPr>
        <w:jc w:val="both"/>
        <w:rPr>
          <w:b/>
          <w:bCs/>
          <w:color w:val="000000"/>
        </w:rPr>
      </w:pPr>
    </w:p>
    <w:p w14:paraId="3F511CD4">
      <w:pPr>
        <w:pStyle w:val="2"/>
        <w:autoSpaceDE w:val="0"/>
        <w:spacing w:before="0" w:after="0"/>
        <w:rPr>
          <w:rFonts w:ascii="Arial" w:hAnsi="Arial" w:cs="Arial"/>
          <w:b/>
          <w:bCs/>
          <w:color w:val="000000" w:themeColor="text1"/>
          <w:sz w:val="24"/>
          <w:szCs w:val="24"/>
          <w14:textFill>
            <w14:solidFill>
              <w14:schemeClr w14:val="tx1"/>
            </w14:solidFill>
          </w14:textFill>
        </w:rPr>
      </w:pPr>
      <w:bookmarkStart w:id="30" w:name="__RefHeading___Toc190782032"/>
      <w:r>
        <w:rPr>
          <w:rFonts w:ascii="Arial" w:hAnsi="Arial" w:eastAsia="SimSun" w:cs="Arial"/>
          <w:b/>
          <w:bCs/>
          <w:color w:val="000000" w:themeColor="text1"/>
          <w:sz w:val="24"/>
          <w:szCs w:val="24"/>
          <w14:textFill>
            <w14:solidFill>
              <w14:schemeClr w14:val="tx1"/>
            </w14:solidFill>
          </w14:textFill>
        </w:rPr>
        <w:t>31. DAS DISPOSIÇÕES GERAIS:</w:t>
      </w:r>
      <w:bookmarkEnd w:id="30"/>
      <w:r>
        <w:rPr>
          <w:rFonts w:ascii="Arial" w:hAnsi="Arial" w:eastAsia="SimSun" w:cs="Arial"/>
          <w:b/>
          <w:bCs/>
          <w:color w:val="000000" w:themeColor="text1"/>
          <w:sz w:val="24"/>
          <w:szCs w:val="24"/>
          <w14:textFill>
            <w14:solidFill>
              <w14:schemeClr w14:val="tx1"/>
            </w14:solidFill>
          </w14:textFill>
        </w:rPr>
        <w:t xml:space="preserve"> </w:t>
      </w:r>
    </w:p>
    <w:p w14:paraId="25CBCE27">
      <w:pPr>
        <w:autoSpaceDE w:val="0"/>
        <w:jc w:val="both"/>
        <w:rPr>
          <w:rFonts w:eastAsia="SimSun"/>
          <w:b/>
          <w:kern w:val="2"/>
        </w:rPr>
      </w:pPr>
    </w:p>
    <w:p w14:paraId="16B07F8B">
      <w:pPr>
        <w:autoSpaceDE w:val="0"/>
        <w:jc w:val="both"/>
      </w:pPr>
      <w:r>
        <w:rPr>
          <w:b/>
        </w:rPr>
        <w:t>31</w:t>
      </w:r>
      <w:r>
        <w:rPr>
          <w:b/>
          <w:color w:val="000000"/>
        </w:rPr>
        <w:t>.1.</w:t>
      </w:r>
      <w:r>
        <w:rPr>
          <w:color w:val="000000"/>
        </w:rPr>
        <w:t xml:space="preserve"> </w:t>
      </w:r>
      <w:r>
        <w:t>Os licitantes assumem todos os custos de preparação e apresentação de suas propostas e a Administração não será, em nenhum caso, responsável por esses custos, independentemente da condução ou do resultado do processo licitatório.</w:t>
      </w:r>
    </w:p>
    <w:p w14:paraId="0C19B504">
      <w:pPr>
        <w:autoSpaceDE w:val="0"/>
        <w:jc w:val="both"/>
        <w:rPr>
          <w:b/>
        </w:rPr>
      </w:pPr>
    </w:p>
    <w:p w14:paraId="514212CC">
      <w:pPr>
        <w:autoSpaceDE w:val="0"/>
        <w:jc w:val="both"/>
      </w:pPr>
      <w:r>
        <w:rPr>
          <w:b/>
        </w:rPr>
        <w:t>31</w:t>
      </w:r>
      <w:r>
        <w:rPr>
          <w:b/>
          <w:color w:val="000000"/>
        </w:rPr>
        <w:t>.2.</w:t>
      </w:r>
      <w:r>
        <w:rPr>
          <w:color w:val="000000"/>
        </w:rPr>
        <w:t xml:space="preserve"> </w:t>
      </w:r>
      <w:r>
        <w:t>O desatendimento de exigências formais não essenciais não importará o afastamento do licitante, desde que seja possível o aproveitamento do ato, observados os princípios da isonomia e do interesse público.</w:t>
      </w:r>
    </w:p>
    <w:p w14:paraId="6ED80CB9">
      <w:pPr>
        <w:jc w:val="both"/>
      </w:pPr>
    </w:p>
    <w:p w14:paraId="716D15A2">
      <w:pPr>
        <w:jc w:val="both"/>
      </w:pPr>
      <w:r>
        <w:rPr>
          <w:b/>
        </w:rPr>
        <w:t>31</w:t>
      </w:r>
      <w:r>
        <w:rPr>
          <w:b/>
          <w:color w:val="000000"/>
        </w:rPr>
        <w:t>.3.</w:t>
      </w:r>
      <w:r>
        <w:rPr>
          <w:color w:val="000000"/>
        </w:rPr>
        <w:t xml:space="preserve"> A sessão pública poderá ser suspensa, por prazo a ser definido na própria sessão, para a análise prévia proposta ou de documento exigidos para habilitação que se fizer necessário. </w:t>
      </w:r>
    </w:p>
    <w:p w14:paraId="00E3CE95">
      <w:pPr>
        <w:ind w:left="284"/>
        <w:jc w:val="both"/>
        <w:rPr>
          <w:b/>
          <w:color w:val="000000"/>
        </w:rPr>
      </w:pPr>
    </w:p>
    <w:p w14:paraId="3E78DECE">
      <w:pPr>
        <w:ind w:left="284"/>
        <w:jc w:val="both"/>
      </w:pPr>
      <w:r>
        <w:rPr>
          <w:b/>
          <w:color w:val="000000"/>
        </w:rPr>
        <w:t>31.3.1.</w:t>
      </w:r>
      <w:r>
        <w:rPr>
          <w:color w:val="000000"/>
        </w:rPr>
        <w:t xml:space="preserve"> Todos e quaisquer avisos pertinentes ao certame, </w:t>
      </w:r>
      <w:r>
        <w:rPr>
          <w:b/>
        </w:rPr>
        <w:t xml:space="preserve">adendos, esclarecimentos, impugnações, </w:t>
      </w:r>
      <w:r>
        <w:t xml:space="preserve">farão parte do instrumento convocatório, </w:t>
      </w:r>
      <w:r>
        <w:rPr>
          <w:color w:val="000000"/>
        </w:rPr>
        <w:t>suspensão em decorrência de horário de expediente ou fatos supervenientes, serão postados no chat e/ou anexados no campo “</w:t>
      </w:r>
      <w:r>
        <w:rPr>
          <w:b/>
          <w:color w:val="000000"/>
        </w:rPr>
        <w:t>DOCUMENTO</w:t>
      </w:r>
      <w:r>
        <w:rPr>
          <w:color w:val="000000"/>
        </w:rPr>
        <w:t xml:space="preserve">” no sistema </w:t>
      </w:r>
      <w:r>
        <w:fldChar w:fldCharType="begin"/>
      </w:r>
      <w:r>
        <w:instrText xml:space="preserve"> HYPERLINK "http://bllcompras.com/" </w:instrText>
      </w:r>
      <w:r>
        <w:fldChar w:fldCharType="separate"/>
      </w:r>
      <w:r>
        <w:rPr>
          <w:rStyle w:val="19"/>
          <w:b/>
          <w:color w:val="000000"/>
        </w:rPr>
        <w:t>bllcompras.com</w:t>
      </w:r>
      <w:r>
        <w:rPr>
          <w:rStyle w:val="19"/>
          <w:b/>
          <w:color w:val="000000"/>
        </w:rPr>
        <w:fldChar w:fldCharType="end"/>
      </w:r>
      <w:r>
        <w:rPr>
          <w:color w:val="000000"/>
        </w:rPr>
        <w:t>, sendo de inteira responsabilidade o acompanhamento por parte do licitante.</w:t>
      </w:r>
      <w:r>
        <w:rPr>
          <w:color w:val="FF0000"/>
        </w:rPr>
        <w:t xml:space="preserve"> </w:t>
      </w:r>
      <w:r>
        <w:rPr>
          <w:color w:val="000000"/>
        </w:rPr>
        <w:t xml:space="preserve">Não podendo o licitante alegar desconhecimento da informação, sob pena de decair seus direitos. </w:t>
      </w:r>
    </w:p>
    <w:p w14:paraId="3E0852EA">
      <w:pPr>
        <w:jc w:val="both"/>
        <w:rPr>
          <w:b/>
          <w:color w:val="000000"/>
        </w:rPr>
      </w:pPr>
    </w:p>
    <w:p w14:paraId="6061A449">
      <w:pPr>
        <w:jc w:val="both"/>
      </w:pPr>
      <w:r>
        <w:rPr>
          <w:b/>
        </w:rPr>
        <w:t>31.4.</w:t>
      </w:r>
      <w:r>
        <w:t xml:space="preserve"> Não havendo expediente ou ocorrendo qualquer fato superveniente que impeça a realização do certame na data marcada, a sessão será automaticamente transferida para o primeiro dia útil subsequente, no mesmo horário e local, anteriormente estabelecidos, desde que não haja comunicação do Pregoeiro em contrário. </w:t>
      </w:r>
    </w:p>
    <w:p w14:paraId="1CE87716">
      <w:pPr>
        <w:jc w:val="both"/>
        <w:rPr>
          <w:b/>
        </w:rPr>
      </w:pPr>
    </w:p>
    <w:p w14:paraId="1D2D566B">
      <w:pPr>
        <w:jc w:val="both"/>
      </w:pPr>
      <w:r>
        <w:rPr>
          <w:b/>
        </w:rPr>
        <w:t>31.5.</w:t>
      </w:r>
      <w:r>
        <w:t xml:space="preserve"> Os licitantes deverão examinar detidamente as disposições contidas neste Edital e em seus Anexos, pois a simples apresentação das propostas subentende a aceitação incondicional de seus termos, independentemente de transcrição, não sendo aceitas quaisquer alegações de desconhecimento de qualquer por menor. </w:t>
      </w:r>
    </w:p>
    <w:p w14:paraId="6F590F06">
      <w:pPr>
        <w:jc w:val="both"/>
        <w:rPr>
          <w:b/>
        </w:rPr>
      </w:pPr>
    </w:p>
    <w:p w14:paraId="46A2564F">
      <w:pPr>
        <w:jc w:val="both"/>
      </w:pPr>
      <w:r>
        <w:rPr>
          <w:b/>
        </w:rPr>
        <w:t>31.6.</w:t>
      </w:r>
      <w:r>
        <w:t xml:space="preserve"> É facultada ao Pregoeiro ou autoridade superior em qualquer fase da licitação, a promoção de diligência destinada a esclarecer ou complementar a instrução do processo, vedada a inclusão posterior de documento ou informação que deveria constar no ato da sessão pública. </w:t>
      </w:r>
    </w:p>
    <w:p w14:paraId="5CD5FBB9">
      <w:pPr>
        <w:jc w:val="both"/>
        <w:rPr>
          <w:b/>
        </w:rPr>
      </w:pPr>
    </w:p>
    <w:p w14:paraId="1826DF0C">
      <w:pPr>
        <w:jc w:val="both"/>
      </w:pPr>
      <w:r>
        <w:rPr>
          <w:b/>
        </w:rPr>
        <w:t>31.7.</w:t>
      </w:r>
      <w:r>
        <w:t xml:space="preserve"> A Autoridade competente poderá cancelar a licitação por fato superveniente devidamente comprovado, pertinente e suficiente para justificar tal conduta, devendo anulá-la por ilegalidade, de ofício ou por provocação de qualquer pessoa, mediante ato escrito e fundamentado. </w:t>
      </w:r>
    </w:p>
    <w:p w14:paraId="264785FC">
      <w:pPr>
        <w:ind w:left="284"/>
        <w:jc w:val="both"/>
        <w:rPr>
          <w:b/>
        </w:rPr>
      </w:pPr>
    </w:p>
    <w:p w14:paraId="20EBD7FC">
      <w:pPr>
        <w:ind w:left="284"/>
        <w:jc w:val="both"/>
      </w:pPr>
      <w:r>
        <w:rPr>
          <w:b/>
        </w:rPr>
        <w:t>31.7.1.</w:t>
      </w:r>
      <w:r>
        <w:t xml:space="preserve"> A anulação do procedimento licitatório induz a anulação do contrato.</w:t>
      </w:r>
    </w:p>
    <w:p w14:paraId="12C9A44F">
      <w:pPr>
        <w:ind w:left="284"/>
        <w:jc w:val="both"/>
        <w:rPr>
          <w:b/>
        </w:rPr>
      </w:pPr>
    </w:p>
    <w:p w14:paraId="5CB1224B">
      <w:pPr>
        <w:ind w:left="284"/>
        <w:jc w:val="both"/>
      </w:pPr>
      <w:r>
        <w:rPr>
          <w:b/>
        </w:rPr>
        <w:t>31.7.2.</w:t>
      </w:r>
      <w:r>
        <w:t xml:space="preserve"> Os licitantes não terão direito à indenização em decorrência da anulação do procedimento licitatório, ressalvado o direito do contratado de boa-fé de ser ressarcido pelos encargos que tiver suportado no cumprimento das obrigações. </w:t>
      </w:r>
    </w:p>
    <w:p w14:paraId="127D8EE9">
      <w:pPr>
        <w:jc w:val="both"/>
        <w:rPr>
          <w:b/>
        </w:rPr>
      </w:pPr>
    </w:p>
    <w:p w14:paraId="75E03730">
      <w:pPr>
        <w:jc w:val="both"/>
      </w:pPr>
      <w:r>
        <w:rPr>
          <w:b/>
        </w:rPr>
        <w:t>31.8.</w:t>
      </w:r>
      <w:r>
        <w:t xml:space="preserve"> As normas disciplinadoras da licitação serão sempre interpretadas em favor da ampliação da disputa entre os interessados, desde que não comprometam o interesse da Administração, o princípio da isonomia, a finalidade e a segurança da contratação. </w:t>
      </w:r>
    </w:p>
    <w:p w14:paraId="35B235A2">
      <w:pPr>
        <w:jc w:val="both"/>
      </w:pPr>
    </w:p>
    <w:p w14:paraId="10C051CF">
      <w:pPr>
        <w:jc w:val="both"/>
      </w:pPr>
      <w:r>
        <w:rPr>
          <w:b/>
        </w:rPr>
        <w:t>31.9.</w:t>
      </w:r>
      <w:r>
        <w:t xml:space="preserve"> A homologação do resultado desta licitação não implicará direito à contratação. </w:t>
      </w:r>
    </w:p>
    <w:p w14:paraId="3D0F3064">
      <w:pPr>
        <w:jc w:val="both"/>
        <w:rPr>
          <w:b/>
        </w:rPr>
      </w:pPr>
    </w:p>
    <w:p w14:paraId="0AC03D08">
      <w:pPr>
        <w:jc w:val="both"/>
      </w:pPr>
      <w:r>
        <w:rPr>
          <w:b/>
          <w:color w:val="000000"/>
        </w:rPr>
        <w:t>31.10.</w:t>
      </w:r>
      <w:r>
        <w:rPr>
          <w:color w:val="000000"/>
        </w:rPr>
        <w:t xml:space="preserve"> É de inteira responsabilidade do licitante o acompanhamento no </w:t>
      </w:r>
      <w:r>
        <w:rPr>
          <w:b/>
          <w:color w:val="000000"/>
        </w:rPr>
        <w:t>site bllcompras.com</w:t>
      </w:r>
      <w:r>
        <w:rPr>
          <w:color w:val="000000"/>
        </w:rPr>
        <w:t xml:space="preserve"> quanto a sua classificação/desclassificação, ficando responsável pelo ônus decorrente da perda de negócios diante da inobservância e cumprimento do prazo. </w:t>
      </w:r>
    </w:p>
    <w:p w14:paraId="0BF20113">
      <w:pPr>
        <w:jc w:val="both"/>
        <w:rPr>
          <w:b/>
          <w:color w:val="000000"/>
        </w:rPr>
      </w:pPr>
    </w:p>
    <w:p w14:paraId="5E1FECF9">
      <w:pPr>
        <w:jc w:val="both"/>
      </w:pPr>
      <w:r>
        <w:rPr>
          <w:b/>
        </w:rPr>
        <w:t>31.11.</w:t>
      </w:r>
      <w:r>
        <w:t xml:space="preserve"> Quaisquer cláusulas deste edital que não seja cumprido, caberá ao pregoeiro a decisão sobre a desclassificação do licitante, em razão dos danos causados ao processo. </w:t>
      </w:r>
    </w:p>
    <w:p w14:paraId="09D2F9B5">
      <w:pPr>
        <w:ind w:left="284"/>
        <w:jc w:val="both"/>
        <w:rPr>
          <w:b/>
        </w:rPr>
      </w:pPr>
    </w:p>
    <w:p w14:paraId="7DC241C8">
      <w:pPr>
        <w:jc w:val="both"/>
      </w:pPr>
      <w:r>
        <w:rPr>
          <w:b/>
        </w:rPr>
        <w:t>31.12.</w:t>
      </w:r>
      <w:r>
        <w:t xml:space="preserve"> O Edital está disponível, na íntegra, </w:t>
      </w:r>
      <w:r>
        <w:rPr>
          <w:b/>
        </w:rPr>
        <w:t>nos endereços eletrônico</w:t>
      </w:r>
      <w:r>
        <w:t xml:space="preserve"> </w:t>
      </w:r>
      <w:r>
        <w:fldChar w:fldCharType="begin"/>
      </w:r>
      <w:r>
        <w:instrText xml:space="preserve"> HYPERLINK </w:instrText>
      </w:r>
      <w:r>
        <w:fldChar w:fldCharType="separate"/>
      </w:r>
      <w:r>
        <w:rPr>
          <w:shd w:val="clear" w:color="auto" w:fill="FFFFFF"/>
        </w:rPr>
        <w:t>https://bllcompras.com›</w:t>
      </w:r>
      <w:r>
        <w:rPr>
          <w:shd w:val="clear" w:color="auto" w:fill="FFFFFF"/>
        </w:rPr>
        <w:fldChar w:fldCharType="end"/>
      </w:r>
      <w:r>
        <w:rPr>
          <w:b/>
        </w:rPr>
        <w:t xml:space="preserve">; </w:t>
      </w:r>
      <w:r>
        <w:fldChar w:fldCharType="begin"/>
      </w:r>
      <w:r>
        <w:instrText xml:space="preserve"> HYPERLINK "http://www.rondonopolis.mt.gov.br/" </w:instrText>
      </w:r>
      <w:r>
        <w:fldChar w:fldCharType="separate"/>
      </w:r>
      <w:r>
        <w:rPr>
          <w:rStyle w:val="19"/>
          <w:b/>
        </w:rPr>
        <w:t>www.rondonopolis.mt.gov.br</w:t>
      </w:r>
      <w:r>
        <w:rPr>
          <w:rStyle w:val="19"/>
          <w:b/>
        </w:rPr>
        <w:fldChar w:fldCharType="end"/>
      </w:r>
      <w:r>
        <w:t>, e também poderão ser lidos e/ou obtidos em dias úteis, no endereço e horário indicado no preambulo deste edital; no mesmo endereço e período no qual os autos do processo administrativo permanecerão com vista franqueada aos interessados.</w:t>
      </w:r>
    </w:p>
    <w:p w14:paraId="20629C3B">
      <w:pPr>
        <w:autoSpaceDE w:val="0"/>
        <w:ind w:left="284"/>
        <w:jc w:val="both"/>
      </w:pPr>
    </w:p>
    <w:p w14:paraId="02103F9B">
      <w:pPr>
        <w:autoSpaceDE w:val="0"/>
        <w:jc w:val="both"/>
        <w:rPr>
          <w:color w:val="000000"/>
        </w:rPr>
      </w:pPr>
      <w:r>
        <w:rPr>
          <w:b/>
          <w:color w:val="000000"/>
        </w:rPr>
        <w:t>31.13.</w:t>
      </w:r>
      <w:r>
        <w:rPr>
          <w:color w:val="000000"/>
        </w:rPr>
        <w:t xml:space="preserve"> Para dirimir as questões oriundas do presente Edital, não resolvidas na esfera administrativa, é competente o Foro da Comarca de Rondonópolis, por mais privilegiado que outro seja.</w:t>
      </w:r>
    </w:p>
    <w:p w14:paraId="69D8AA22">
      <w:pPr>
        <w:jc w:val="both"/>
        <w:rPr>
          <w:b/>
          <w:color w:val="000000"/>
        </w:rPr>
      </w:pPr>
    </w:p>
    <w:p w14:paraId="3803C4AD">
      <w:pPr>
        <w:pStyle w:val="2"/>
        <w:pageBreakBefore w:val="0"/>
        <w:widowControl/>
        <w:kinsoku/>
        <w:wordWrap/>
        <w:overflowPunct/>
        <w:topLinePunct w:val="0"/>
        <w:autoSpaceDE w:val="0"/>
        <w:autoSpaceDN/>
        <w:bidi w:val="0"/>
        <w:adjustRightInd/>
        <w:snapToGrid/>
        <w:spacing w:before="0" w:beforeLines="50" w:after="0"/>
        <w:jc w:val="both"/>
        <w:textAlignment w:val="auto"/>
        <w:rPr>
          <w:rFonts w:ascii="Arial" w:hAnsi="Arial" w:cs="Arial"/>
          <w:b/>
          <w:bCs/>
          <w:color w:val="000000" w:themeColor="text1"/>
          <w:sz w:val="24"/>
          <w:szCs w:val="24"/>
          <w14:textFill>
            <w14:solidFill>
              <w14:schemeClr w14:val="tx1"/>
            </w14:solidFill>
          </w14:textFill>
        </w:rPr>
      </w:pPr>
      <w:bookmarkStart w:id="31" w:name="__RefHeading___Toc190782033"/>
      <w:r>
        <w:rPr>
          <w:rFonts w:ascii="Arial" w:hAnsi="Arial" w:eastAsia="SimSun" w:cs="Arial"/>
          <w:b/>
          <w:bCs/>
          <w:color w:val="000000" w:themeColor="text1"/>
          <w:sz w:val="24"/>
          <w:szCs w:val="24"/>
          <w14:textFill>
            <w14:solidFill>
              <w14:schemeClr w14:val="tx1"/>
            </w14:solidFill>
          </w14:textFill>
        </w:rPr>
        <w:t>32. INTEGRAM ESTE EDITAL, PARA TODOS OS FINS E EFEITOS, OS SEGUINTES ANEXOS:</w:t>
      </w:r>
      <w:bookmarkEnd w:id="31"/>
      <w:r>
        <w:rPr>
          <w:rFonts w:ascii="Arial" w:hAnsi="Arial" w:eastAsia="SimSun" w:cs="Arial"/>
          <w:b/>
          <w:bCs/>
          <w:color w:val="000000" w:themeColor="text1"/>
          <w:sz w:val="24"/>
          <w:szCs w:val="24"/>
          <w14:textFill>
            <w14:solidFill>
              <w14:schemeClr w14:val="tx1"/>
            </w14:solidFill>
          </w14:textFill>
        </w:rPr>
        <w:t xml:space="preserve"> </w:t>
      </w:r>
    </w:p>
    <w:p w14:paraId="36D7344B">
      <w:pPr>
        <w:pageBreakBefore w:val="0"/>
        <w:widowControl/>
        <w:kinsoku/>
        <w:wordWrap/>
        <w:overflowPunct/>
        <w:topLinePunct w:val="0"/>
        <w:autoSpaceDN/>
        <w:bidi w:val="0"/>
        <w:adjustRightInd/>
        <w:snapToGrid/>
        <w:spacing w:before="0" w:beforeLines="50"/>
        <w:ind w:left="284"/>
        <w:jc w:val="both"/>
        <w:textAlignment w:val="auto"/>
      </w:pPr>
      <w:r>
        <w:rPr>
          <w:b/>
        </w:rPr>
        <w:t>32.1.</w:t>
      </w:r>
      <w:r>
        <w:t xml:space="preserve"> ANEXO I – </w:t>
      </w:r>
      <w:r>
        <w:rPr>
          <w:b/>
          <w:kern w:val="2"/>
        </w:rPr>
        <w:t>MINUTA DA ATA DE REGISTRO DE PREÇOS</w:t>
      </w:r>
      <w:r>
        <w:rPr>
          <w:rFonts w:eastAsia="SimSun"/>
          <w:b/>
          <w:kern w:val="2"/>
        </w:rPr>
        <w:t xml:space="preserve">; </w:t>
      </w:r>
    </w:p>
    <w:p w14:paraId="41B336E2">
      <w:pPr>
        <w:pageBreakBefore w:val="0"/>
        <w:widowControl/>
        <w:kinsoku/>
        <w:wordWrap/>
        <w:overflowPunct/>
        <w:topLinePunct w:val="0"/>
        <w:autoSpaceDN/>
        <w:bidi w:val="0"/>
        <w:adjustRightInd/>
        <w:snapToGrid/>
        <w:spacing w:before="0" w:beforeLines="50"/>
        <w:ind w:left="284"/>
        <w:jc w:val="both"/>
        <w:textAlignment w:val="auto"/>
      </w:pPr>
      <w:r>
        <w:rPr>
          <w:b/>
        </w:rPr>
        <w:t>32.2.</w:t>
      </w:r>
      <w:r>
        <w:t xml:space="preserve"> ANEXO II – </w:t>
      </w:r>
      <w:r>
        <w:rPr>
          <w:b/>
          <w:kern w:val="2"/>
        </w:rPr>
        <w:t>MINUTA DO CONTRATO;</w:t>
      </w:r>
    </w:p>
    <w:p w14:paraId="15E472E3">
      <w:pPr>
        <w:pageBreakBefore w:val="0"/>
        <w:widowControl/>
        <w:kinsoku/>
        <w:wordWrap/>
        <w:overflowPunct/>
        <w:topLinePunct w:val="0"/>
        <w:autoSpaceDN/>
        <w:bidi w:val="0"/>
        <w:adjustRightInd/>
        <w:snapToGrid/>
        <w:spacing w:before="0" w:beforeLines="50"/>
        <w:ind w:left="284"/>
        <w:jc w:val="both"/>
        <w:textAlignment w:val="auto"/>
      </w:pPr>
      <w:r>
        <w:rPr>
          <w:b/>
        </w:rPr>
        <w:t>32.3.</w:t>
      </w:r>
      <w:r>
        <w:t xml:space="preserve"> ANEXO III – </w:t>
      </w:r>
      <w:r>
        <w:rPr>
          <w:b/>
          <w:bCs/>
        </w:rPr>
        <w:t>MODELO DE PROPOSTA COMERCIAL</w:t>
      </w:r>
      <w:r>
        <w:rPr>
          <w:b/>
          <w:kern w:val="2"/>
        </w:rPr>
        <w:t>;</w:t>
      </w:r>
    </w:p>
    <w:p w14:paraId="4F933AF7">
      <w:pPr>
        <w:pageBreakBefore w:val="0"/>
        <w:widowControl/>
        <w:kinsoku/>
        <w:wordWrap/>
        <w:overflowPunct/>
        <w:topLinePunct w:val="0"/>
        <w:autoSpaceDN/>
        <w:bidi w:val="0"/>
        <w:adjustRightInd/>
        <w:snapToGrid/>
        <w:spacing w:before="0" w:beforeLines="50"/>
        <w:ind w:left="284"/>
        <w:jc w:val="both"/>
        <w:textAlignment w:val="auto"/>
      </w:pPr>
      <w:r>
        <w:rPr>
          <w:b/>
        </w:rPr>
        <w:t>32.4.</w:t>
      </w:r>
      <w:r>
        <w:t xml:space="preserve"> ANEXO IV – </w:t>
      </w:r>
      <w:r>
        <w:rPr>
          <w:b/>
          <w:kern w:val="2"/>
        </w:rPr>
        <w:t>MODELO DE DECLARAÇÕES (HABILITAÇÃO)</w:t>
      </w:r>
      <w:r>
        <w:t>;</w:t>
      </w:r>
    </w:p>
    <w:p w14:paraId="56D17631">
      <w:pPr>
        <w:pageBreakBefore w:val="0"/>
        <w:widowControl/>
        <w:kinsoku/>
        <w:wordWrap/>
        <w:overflowPunct/>
        <w:topLinePunct w:val="0"/>
        <w:autoSpaceDN/>
        <w:bidi w:val="0"/>
        <w:adjustRightInd/>
        <w:snapToGrid/>
        <w:spacing w:before="0" w:beforeLines="50"/>
        <w:ind w:left="284"/>
        <w:jc w:val="both"/>
        <w:textAlignment w:val="auto"/>
      </w:pPr>
      <w:r>
        <w:rPr>
          <w:b/>
        </w:rPr>
        <w:t>32.5.</w:t>
      </w:r>
      <w:r>
        <w:t xml:space="preserve"> ANEXO V – </w:t>
      </w:r>
      <w:r>
        <w:rPr>
          <w:b/>
          <w:kern w:val="2"/>
        </w:rPr>
        <w:t>MODELO DE DECLARAÇÃO (PARA ME E EPP);</w:t>
      </w:r>
    </w:p>
    <w:p w14:paraId="49E491C9">
      <w:pPr>
        <w:pageBreakBefore w:val="0"/>
        <w:widowControl/>
        <w:kinsoku/>
        <w:wordWrap/>
        <w:overflowPunct/>
        <w:topLinePunct w:val="0"/>
        <w:autoSpaceDN/>
        <w:bidi w:val="0"/>
        <w:adjustRightInd/>
        <w:snapToGrid/>
        <w:spacing w:before="0" w:beforeLines="50"/>
        <w:ind w:left="284"/>
        <w:jc w:val="both"/>
        <w:textAlignment w:val="auto"/>
        <w:rPr>
          <w:b/>
          <w:kern w:val="2"/>
        </w:rPr>
      </w:pPr>
      <w:r>
        <w:rPr>
          <w:b/>
        </w:rPr>
        <w:t>32.6.</w:t>
      </w:r>
      <w:r>
        <w:t xml:space="preserve"> ANEXO VI – </w:t>
      </w:r>
      <w:r>
        <w:rPr>
          <w:rFonts w:eastAsia="SimSun"/>
          <w:b/>
          <w:kern w:val="2"/>
        </w:rPr>
        <w:t>TERMO DE REFERÊNCIA</w:t>
      </w:r>
      <w:r>
        <w:rPr>
          <w:b/>
          <w:kern w:val="2"/>
        </w:rPr>
        <w:t xml:space="preserve"> </w:t>
      </w:r>
    </w:p>
    <w:p w14:paraId="4AE953F1">
      <w:pPr>
        <w:pageBreakBefore w:val="0"/>
        <w:widowControl/>
        <w:kinsoku/>
        <w:wordWrap/>
        <w:overflowPunct/>
        <w:topLinePunct w:val="0"/>
        <w:autoSpaceDN/>
        <w:bidi w:val="0"/>
        <w:adjustRightInd/>
        <w:snapToGrid/>
        <w:spacing w:before="0" w:beforeLines="50"/>
        <w:ind w:left="284"/>
        <w:jc w:val="both"/>
        <w:textAlignment w:val="auto"/>
        <w:rPr>
          <w:b/>
          <w:kern w:val="2"/>
        </w:rPr>
      </w:pPr>
      <w:r>
        <w:rPr>
          <w:b/>
        </w:rPr>
        <w:t>32.7.</w:t>
      </w:r>
      <w:r>
        <w:t xml:space="preserve"> ANEXO VII –</w:t>
      </w:r>
      <w:r>
        <w:rPr>
          <w:b/>
          <w:kern w:val="2"/>
        </w:rPr>
        <w:t xml:space="preserve"> ANEXO FORMAÇÃO DE PREÇOS.</w:t>
      </w:r>
    </w:p>
    <w:p w14:paraId="4147F128">
      <w:pPr>
        <w:pageBreakBefore w:val="0"/>
        <w:widowControl/>
        <w:kinsoku/>
        <w:wordWrap/>
        <w:overflowPunct/>
        <w:topLinePunct w:val="0"/>
        <w:autoSpaceDN/>
        <w:bidi w:val="0"/>
        <w:adjustRightInd/>
        <w:snapToGrid/>
        <w:spacing w:before="0" w:beforeLines="50"/>
        <w:ind w:left="284"/>
        <w:jc w:val="both"/>
        <w:textAlignment w:val="auto"/>
        <w:rPr>
          <w:b/>
          <w:kern w:val="2"/>
        </w:rPr>
      </w:pPr>
      <w:r>
        <w:rPr>
          <w:b/>
        </w:rPr>
        <w:t>32.8.</w:t>
      </w:r>
      <w:r>
        <w:t xml:space="preserve"> ANEXO VIII –</w:t>
      </w:r>
      <w:r>
        <w:rPr>
          <w:b/>
          <w:kern w:val="2"/>
        </w:rPr>
        <w:t xml:space="preserve"> ANEXO PROVA DE CONCEITO (POC).</w:t>
      </w:r>
    </w:p>
    <w:p w14:paraId="600CC8DD">
      <w:pPr>
        <w:pageBreakBefore w:val="0"/>
        <w:widowControl/>
        <w:kinsoku/>
        <w:wordWrap/>
        <w:overflowPunct/>
        <w:topLinePunct w:val="0"/>
        <w:autoSpaceDN/>
        <w:bidi w:val="0"/>
        <w:adjustRightInd/>
        <w:snapToGrid/>
        <w:spacing w:before="0" w:beforeLines="50"/>
        <w:ind w:left="284"/>
        <w:jc w:val="both"/>
        <w:textAlignment w:val="auto"/>
        <w:rPr>
          <w:b/>
          <w:kern w:val="2"/>
        </w:rPr>
      </w:pPr>
      <w:r>
        <w:rPr>
          <w:b/>
        </w:rPr>
        <w:t>32.9.</w:t>
      </w:r>
      <w:r>
        <w:t xml:space="preserve"> ANEXO IX –</w:t>
      </w:r>
      <w:r>
        <w:rPr>
          <w:b/>
          <w:kern w:val="2"/>
        </w:rPr>
        <w:t xml:space="preserve"> ANEXO CRONOGRAMA FÍSICO FINANCEIRO.</w:t>
      </w:r>
    </w:p>
    <w:p w14:paraId="34047810">
      <w:pPr>
        <w:ind w:left="284"/>
        <w:jc w:val="both"/>
      </w:pPr>
    </w:p>
    <w:p w14:paraId="00E2CBEE">
      <w:pPr>
        <w:ind w:left="284"/>
        <w:jc w:val="both"/>
        <w:rPr>
          <w:b/>
          <w:kern w:val="2"/>
        </w:rPr>
      </w:pPr>
    </w:p>
    <w:p w14:paraId="455F0744">
      <w:pPr>
        <w:jc w:val="center"/>
      </w:pPr>
      <w:r>
        <w:t>Rondonópolis-MT, 24 de setembro de 2025.</w:t>
      </w:r>
    </w:p>
    <w:p w14:paraId="427ADE19">
      <w:pPr>
        <w:tabs>
          <w:tab w:val="right" w:pos="9072"/>
        </w:tabs>
        <w:jc w:val="center"/>
        <w:rPr>
          <w:b/>
        </w:rPr>
      </w:pPr>
    </w:p>
    <w:p w14:paraId="72B6F0AD">
      <w:pPr>
        <w:tabs>
          <w:tab w:val="right" w:pos="9072"/>
        </w:tabs>
        <w:jc w:val="center"/>
        <w:rPr>
          <w:b/>
        </w:rPr>
      </w:pPr>
    </w:p>
    <w:p w14:paraId="6DE6080E">
      <w:pPr>
        <w:tabs>
          <w:tab w:val="right" w:pos="9072"/>
        </w:tabs>
        <w:jc w:val="center"/>
        <w:rPr>
          <w:b/>
        </w:rPr>
      </w:pPr>
    </w:p>
    <w:p w14:paraId="2AAA3AA2">
      <w:pPr>
        <w:tabs>
          <w:tab w:val="right" w:pos="9072"/>
        </w:tabs>
        <w:jc w:val="center"/>
      </w:pPr>
      <w:r>
        <w:rPr>
          <w:b/>
        </w:rPr>
        <w:t>NICHOLAS ANDRÉ FERREIRA MARTINS</w:t>
      </w:r>
    </w:p>
    <w:p w14:paraId="3F366F04">
      <w:pPr>
        <w:tabs>
          <w:tab w:val="right" w:pos="9072"/>
        </w:tabs>
        <w:jc w:val="center"/>
      </w:pPr>
    </w:p>
    <w:p w14:paraId="5F981637">
      <w:pPr>
        <w:tabs>
          <w:tab w:val="right" w:pos="9072"/>
        </w:tabs>
        <w:jc w:val="center"/>
      </w:pPr>
      <w:r>
        <w:t>Superintendente do Departamento de Compras</w:t>
      </w:r>
    </w:p>
    <w:p w14:paraId="0E1F3B0E">
      <w:pPr>
        <w:tabs>
          <w:tab w:val="right" w:pos="9072"/>
        </w:tabs>
        <w:jc w:val="center"/>
      </w:pPr>
    </w:p>
    <w:p w14:paraId="6899331D">
      <w:pPr>
        <w:tabs>
          <w:tab w:val="right" w:pos="9072"/>
        </w:tabs>
        <w:jc w:val="center"/>
        <w:rPr>
          <w:rStyle w:val="19"/>
          <w:b/>
        </w:rPr>
      </w:pPr>
      <w:r>
        <w:t xml:space="preserve">Email: </w:t>
      </w:r>
      <w:r>
        <w:fldChar w:fldCharType="begin"/>
      </w:r>
      <w:r>
        <w:instrText xml:space="preserve"> HYPERLINK "mailto:pmrroo@hotmail.com" </w:instrText>
      </w:r>
      <w:r>
        <w:fldChar w:fldCharType="separate"/>
      </w:r>
      <w:r>
        <w:rPr>
          <w:rStyle w:val="19"/>
          <w:b/>
        </w:rPr>
        <w:t>pmrroo@hotmail.com</w:t>
      </w:r>
      <w:r>
        <w:rPr>
          <w:rStyle w:val="19"/>
          <w:b/>
        </w:rPr>
        <w:fldChar w:fldCharType="end"/>
      </w:r>
    </w:p>
    <w:p w14:paraId="57DB37FB">
      <w:pPr>
        <w:pStyle w:val="2"/>
        <w:autoSpaceDE w:val="0"/>
        <w:spacing w:before="0" w:after="0"/>
        <w:jc w:val="center"/>
        <w:rPr>
          <w:rFonts w:ascii="Arial" w:hAnsi="Arial" w:cs="Arial"/>
          <w:b/>
          <w:color w:val="000000" w:themeColor="text1"/>
          <w:sz w:val="24"/>
          <w:szCs w:val="24"/>
          <w14:textFill>
            <w14:solidFill>
              <w14:schemeClr w14:val="tx1"/>
            </w14:solidFill>
          </w14:textFill>
        </w:rPr>
      </w:pPr>
      <w:bookmarkStart w:id="41" w:name="_GoBack"/>
      <w:bookmarkEnd w:id="41"/>
      <w:r>
        <w:rPr>
          <w:rFonts w:ascii="Arial" w:hAnsi="Arial" w:cs="Arial"/>
          <w:b/>
          <w:color w:val="000000" w:themeColor="text1"/>
          <w:sz w:val="24"/>
          <w:szCs w:val="24"/>
          <w14:textFill>
            <w14:solidFill>
              <w14:schemeClr w14:val="tx1"/>
            </w14:solidFill>
          </w14:textFill>
        </w:rPr>
        <w:t>ANEXO I: MINUTA DA ATA DE REGISTRO DE PREÇOS.</w:t>
      </w:r>
    </w:p>
    <w:p w14:paraId="0FFF8E6C">
      <w:pPr>
        <w:rPr>
          <w:bCs/>
        </w:rPr>
      </w:pPr>
    </w:p>
    <w:p w14:paraId="5A0790D6">
      <w:r>
        <w:rPr>
          <w:b/>
          <w:bCs/>
          <w:iCs/>
          <w:color w:val="000000"/>
        </w:rPr>
        <w:t>ATA DE REGISTRO DE PREÇOS Nº. XX/2025.</w:t>
      </w:r>
    </w:p>
    <w:p w14:paraId="6F4C4625">
      <w:pPr>
        <w:jc w:val="center"/>
        <w:rPr>
          <w:b/>
          <w:bCs/>
          <w:iCs/>
          <w:color w:val="000000"/>
        </w:rPr>
      </w:pPr>
    </w:p>
    <w:p w14:paraId="5C2BE290">
      <w:r>
        <w:rPr>
          <w:b/>
          <w:bCs/>
          <w:iCs/>
          <w:color w:val="000000"/>
        </w:rPr>
        <w:t>PREGÃO ELETRÔNICO Nº. xx/2025.</w:t>
      </w:r>
    </w:p>
    <w:p w14:paraId="1A9FA886">
      <w:r>
        <w:rPr>
          <w:b/>
          <w:bCs/>
          <w:iCs/>
        </w:rPr>
        <w:t>PROCESSO DE COMPRA Nº xx/2025.</w:t>
      </w:r>
    </w:p>
    <w:p w14:paraId="7A10D9F8">
      <w:pPr>
        <w:jc w:val="both"/>
        <w:rPr>
          <w:b/>
          <w:bCs/>
          <w:iCs/>
        </w:rPr>
      </w:pPr>
    </w:p>
    <w:p w14:paraId="7386EF42">
      <w:pPr>
        <w:widowControl w:val="0"/>
        <w:tabs>
          <w:tab w:val="center" w:pos="4779"/>
          <w:tab w:val="right" w:pos="9198"/>
        </w:tabs>
        <w:autoSpaceDE w:val="0"/>
        <w:ind w:right="-28"/>
        <w:jc w:val="both"/>
      </w:pPr>
      <w:r>
        <w:rPr>
          <w:b/>
        </w:rPr>
        <w:t>O Município de Rondonópolis-Estado de Mato Grosso,</w:t>
      </w:r>
      <w:r>
        <w:t xml:space="preserve"> pessoa jurídica de direito público, com sede à Avenida Duque de Caxias n.º 1.000, Bairro: Vila Aurora, inscrita no CNPJ/MF. sob nº 03.347.101/0001-21, através da </w:t>
      </w:r>
      <w:r>
        <w:rPr>
          <w:b/>
        </w:rPr>
        <w:t>Secretaria Municipal de XXXXXX</w:t>
      </w:r>
      <w:r>
        <w:t xml:space="preserve">, neste ato representada pela </w:t>
      </w:r>
      <w:r>
        <w:rPr>
          <w:b/>
        </w:rPr>
        <w:t>Sr.(a) XXXXXXXXX</w:t>
      </w:r>
      <w:r>
        <w:t xml:space="preserve">, doravante denominada simplesmente </w:t>
      </w:r>
      <w:r>
        <w:rPr>
          <w:b/>
        </w:rPr>
        <w:t>Órgão Gerenciador</w:t>
      </w:r>
      <w:r>
        <w:t xml:space="preserve">, </w:t>
      </w:r>
      <w:r>
        <w:rPr>
          <w:b/>
        </w:rPr>
        <w:t>Resolve registrar os preços</w:t>
      </w:r>
      <w:r>
        <w:t xml:space="preserve"> das empresas abaixo relacionadas, doravante denominadas simplesmente </w:t>
      </w:r>
      <w:r>
        <w:rPr>
          <w:b/>
        </w:rPr>
        <w:t>Fornecedores Registrados</w:t>
      </w:r>
      <w:r>
        <w:t>, de acordo com a classificação por elas alcançadas nos itens abaixo relacionados, tendo em vista que, atenderam todas as condições previstas no edital e seus anexos</w:t>
      </w:r>
      <w:r>
        <w:rPr>
          <w:b/>
        </w:rPr>
        <w:t xml:space="preserve">, </w:t>
      </w:r>
      <w:r>
        <w:t>com fundamento na Lei nº 14.133/2021, Decreto Municipal n.º 11.685, de 18 de setembro de 2023, Lei Complementar n.º 123/2006 e demais legislações correlatadas, resolvem celebrar o presente instrumento, mediante as cláusulas e condições a seguir:</w:t>
      </w:r>
    </w:p>
    <w:p w14:paraId="1A95B409">
      <w:pPr>
        <w:jc w:val="both"/>
      </w:pPr>
    </w:p>
    <w:p w14:paraId="7C2876E3">
      <w:pPr>
        <w:widowControl w:val="0"/>
        <w:tabs>
          <w:tab w:val="center" w:pos="4779"/>
          <w:tab w:val="right" w:pos="9198"/>
        </w:tabs>
        <w:autoSpaceDE w:val="0"/>
        <w:ind w:right="-28"/>
        <w:jc w:val="both"/>
      </w:pPr>
      <w:r>
        <w:rPr>
          <w:b/>
          <w:bCs/>
        </w:rPr>
        <w:t>1. DO OBJETO:</w:t>
      </w:r>
    </w:p>
    <w:p w14:paraId="3765D674">
      <w:pPr>
        <w:widowControl w:val="0"/>
        <w:tabs>
          <w:tab w:val="center" w:pos="4779"/>
          <w:tab w:val="right" w:pos="9198"/>
        </w:tabs>
        <w:autoSpaceDE w:val="0"/>
        <w:ind w:right="-28"/>
        <w:jc w:val="both"/>
        <w:rPr>
          <w:b/>
          <w:bCs/>
        </w:rPr>
      </w:pPr>
    </w:p>
    <w:p w14:paraId="58E100DF">
      <w:pPr>
        <w:jc w:val="both"/>
        <w:rPr>
          <w:b/>
          <w:bCs/>
          <w:color w:val="000000"/>
        </w:rPr>
      </w:pPr>
      <w:r>
        <w:rPr>
          <w:b/>
        </w:rPr>
        <w:t>1.1.</w:t>
      </w:r>
      <w:r>
        <w:t xml:space="preserve"> A presente Ata tem por objeto o </w:t>
      </w:r>
      <w:r>
        <w:rPr>
          <w:b/>
          <w:bCs/>
          <w:color w:val="000000"/>
        </w:rPr>
        <w:t xml:space="preserve">Registro de Preço para a prestação de serviços de fiscalização eletrônica automática de infrações de trânsito, compreendendo o monitoramento, registro, armazenamento e processamento de informações e imagens relativas a infrações de avanço de sinal vermelho e parada sobre faixa de pedestres em cruzamentos semafóricos, bem como, conforme configuração dos equipamentos e necessidade da Secretaria Municipal de Mobilidade Urbana (SEMOB) de Rondonópolis-MT, a fiscalização de excesso de velocidade. Conforme condições, especificações e quantitativos estabelecidos no edital e seus anexos. </w:t>
      </w:r>
    </w:p>
    <w:p w14:paraId="4AEB57F5">
      <w:pPr>
        <w:jc w:val="both"/>
      </w:pPr>
    </w:p>
    <w:p w14:paraId="419A2FE4">
      <w:pPr>
        <w:widowControl w:val="0"/>
        <w:tabs>
          <w:tab w:val="center" w:pos="4779"/>
          <w:tab w:val="right" w:pos="9198"/>
        </w:tabs>
        <w:autoSpaceDE w:val="0"/>
        <w:ind w:right="-28"/>
        <w:jc w:val="both"/>
      </w:pPr>
      <w:r>
        <w:rPr>
          <w:b/>
        </w:rPr>
        <w:t>CLÁUSULA SEGUNDA – DA VIGÊNCIA da ARP e do CONTRATO:</w:t>
      </w:r>
    </w:p>
    <w:p w14:paraId="532C0828">
      <w:pPr>
        <w:widowControl w:val="0"/>
        <w:tabs>
          <w:tab w:val="center" w:pos="4779"/>
          <w:tab w:val="right" w:pos="9198"/>
        </w:tabs>
        <w:autoSpaceDE w:val="0"/>
        <w:ind w:right="-28"/>
        <w:jc w:val="both"/>
        <w:rPr>
          <w:b/>
        </w:rPr>
      </w:pPr>
    </w:p>
    <w:p w14:paraId="5B41C790">
      <w:pPr>
        <w:jc w:val="both"/>
      </w:pPr>
      <w:r>
        <w:rPr>
          <w:b/>
        </w:rPr>
        <w:t>2.1.</w:t>
      </w:r>
      <w:r>
        <w:t xml:space="preserve"> A presente ARP terá vigência de 1 (um) ano contado a partir da publicação do seu extrato no Diário Oficial do Município - DIORONDON, prorrogável </w:t>
      </w:r>
      <w:r>
        <w:rPr>
          <w:highlight w:val="white"/>
        </w:rPr>
        <w:t>por igual período, desde que comprovado o preço vantajoso.</w:t>
      </w:r>
    </w:p>
    <w:p w14:paraId="0591C1C6">
      <w:pPr>
        <w:jc w:val="both"/>
        <w:rPr>
          <w:highlight w:val="white"/>
        </w:rPr>
      </w:pPr>
    </w:p>
    <w:p w14:paraId="43C36FF8">
      <w:pPr>
        <w:jc w:val="both"/>
      </w:pPr>
      <w:r>
        <w:rPr>
          <w:b/>
        </w:rPr>
        <w:t>2.2.</w:t>
      </w:r>
      <w:r>
        <w:t xml:space="preserve"> O contrato decorrente da presente ata terá a vigência, modelo de gestão e demais aspectos alusivos à contratos estipulados, conforme Termo de Referência (anexo VII).</w:t>
      </w:r>
    </w:p>
    <w:p w14:paraId="3BAB48EC">
      <w:pPr>
        <w:widowControl w:val="0"/>
        <w:tabs>
          <w:tab w:val="center" w:pos="4779"/>
          <w:tab w:val="right" w:pos="9198"/>
        </w:tabs>
        <w:autoSpaceDE w:val="0"/>
        <w:ind w:right="-28"/>
        <w:jc w:val="both"/>
        <w:rPr>
          <w:b/>
        </w:rPr>
      </w:pPr>
    </w:p>
    <w:p w14:paraId="351958AE">
      <w:pPr>
        <w:widowControl w:val="0"/>
        <w:tabs>
          <w:tab w:val="center" w:pos="4779"/>
          <w:tab w:val="right" w:pos="9198"/>
        </w:tabs>
        <w:autoSpaceDE w:val="0"/>
        <w:ind w:right="-28"/>
        <w:jc w:val="both"/>
      </w:pPr>
      <w:r>
        <w:rPr>
          <w:b/>
        </w:rPr>
        <w:t>CLÁUSULA TERCEIRA – DO PREÇO REGISTRADO E DA DIFERENÇA PERCENTUAL:</w:t>
      </w:r>
    </w:p>
    <w:p w14:paraId="286BE7F9">
      <w:pPr>
        <w:widowControl w:val="0"/>
        <w:tabs>
          <w:tab w:val="center" w:pos="4779"/>
          <w:tab w:val="right" w:pos="9198"/>
        </w:tabs>
        <w:autoSpaceDE w:val="0"/>
        <w:ind w:right="-28"/>
        <w:jc w:val="both"/>
        <w:rPr>
          <w:b/>
        </w:rPr>
      </w:pPr>
    </w:p>
    <w:p w14:paraId="4EAF105A">
      <w:pPr>
        <w:widowControl w:val="0"/>
        <w:tabs>
          <w:tab w:val="center" w:pos="4779"/>
          <w:tab w:val="right" w:pos="9198"/>
        </w:tabs>
        <w:autoSpaceDE w:val="0"/>
        <w:ind w:right="-28"/>
        <w:jc w:val="both"/>
      </w:pPr>
      <w:r>
        <w:rPr>
          <w:b/>
        </w:rPr>
        <w:t>3.1.</w:t>
      </w:r>
      <w:r>
        <w:t xml:space="preserve"> O(s) preço(s), a(s) marca(s), a(s) quantidade(s) e a(s) especificação(ões) do(s) produto(s) a ser(em) fornecido(s) encontram-se indicados no (Anexo I </w:t>
      </w:r>
      <w:r>
        <w:rPr>
          <w:color w:val="231F20"/>
        </w:rPr>
        <w:t>Informações sobre os produtos registrados)</w:t>
      </w:r>
      <w:r>
        <w:t xml:space="preserve"> desta ARP.</w:t>
      </w:r>
    </w:p>
    <w:p w14:paraId="2D131ED1">
      <w:pPr>
        <w:widowControl w:val="0"/>
        <w:tabs>
          <w:tab w:val="center" w:pos="4779"/>
          <w:tab w:val="right" w:pos="9198"/>
        </w:tabs>
        <w:autoSpaceDE w:val="0"/>
        <w:ind w:right="-28"/>
        <w:jc w:val="both"/>
      </w:pPr>
    </w:p>
    <w:p w14:paraId="519214C3">
      <w:pPr>
        <w:widowControl w:val="0"/>
        <w:tabs>
          <w:tab w:val="center" w:pos="4779"/>
          <w:tab w:val="right" w:pos="9198"/>
        </w:tabs>
        <w:autoSpaceDE w:val="0"/>
        <w:ind w:right="-28"/>
        <w:jc w:val="both"/>
      </w:pPr>
      <w:r>
        <w:rPr>
          <w:b/>
        </w:rPr>
        <w:t>3.2.</w:t>
      </w:r>
      <w:r>
        <w:t xml:space="preserve"> A(s) diferença(s) percentual(is) entre o(s) valor(es) unitário(s) registrado(s) e o(s) valor(es) pesquisado(s) de cada produto, a(s) qual(is) deve(m), preferencialmente, ser(em) mantida(s) durante a vigência desta Ata, também está(ão) especificada(s) no (Anexo I </w:t>
      </w:r>
      <w:r>
        <w:rPr>
          <w:color w:val="231F20"/>
        </w:rPr>
        <w:t xml:space="preserve">Informações sobre os produtos registrados) </w:t>
      </w:r>
      <w:r>
        <w:t>desta ARP.</w:t>
      </w:r>
    </w:p>
    <w:p w14:paraId="6C3358B3">
      <w:pPr>
        <w:widowControl w:val="0"/>
        <w:tabs>
          <w:tab w:val="center" w:pos="4779"/>
          <w:tab w:val="right" w:pos="9198"/>
        </w:tabs>
        <w:autoSpaceDE w:val="0"/>
        <w:ind w:right="-28"/>
        <w:jc w:val="both"/>
      </w:pPr>
    </w:p>
    <w:p w14:paraId="08DEBF65">
      <w:pPr>
        <w:widowControl w:val="0"/>
        <w:tabs>
          <w:tab w:val="center" w:pos="4779"/>
          <w:tab w:val="right" w:pos="9198"/>
        </w:tabs>
        <w:autoSpaceDE w:val="0"/>
        <w:ind w:right="-28"/>
        <w:jc w:val="both"/>
      </w:pPr>
      <w:r>
        <w:rPr>
          <w:b/>
        </w:rPr>
        <w:t>CLÁUSULA QUARTA – DO VALOR:</w:t>
      </w:r>
    </w:p>
    <w:p w14:paraId="64613C9D">
      <w:pPr>
        <w:widowControl w:val="0"/>
        <w:tabs>
          <w:tab w:val="center" w:pos="4779"/>
          <w:tab w:val="right" w:pos="9198"/>
        </w:tabs>
        <w:autoSpaceDE w:val="0"/>
        <w:ind w:right="-28"/>
        <w:jc w:val="both"/>
        <w:rPr>
          <w:b/>
        </w:rPr>
      </w:pPr>
    </w:p>
    <w:p w14:paraId="015F3259">
      <w:pPr>
        <w:widowControl w:val="0"/>
        <w:tabs>
          <w:tab w:val="center" w:pos="4779"/>
          <w:tab w:val="right" w:pos="9198"/>
        </w:tabs>
        <w:autoSpaceDE w:val="0"/>
        <w:ind w:right="-28"/>
        <w:jc w:val="both"/>
      </w:pPr>
      <w:r>
        <w:rPr>
          <w:b/>
        </w:rPr>
        <w:t>4.1.</w:t>
      </w:r>
      <w:r>
        <w:t xml:space="preserve"> O valor total estimado para as aquisições decorrentes da presente ARP perfaz o montante de R$ </w:t>
      </w:r>
      <w:r>
        <w:rPr>
          <w:highlight w:val="yellow"/>
        </w:rPr>
        <w:t>XXXXXXXXXX</w:t>
      </w:r>
      <w:r>
        <w:t>.</w:t>
      </w:r>
    </w:p>
    <w:p w14:paraId="3C1B359B">
      <w:pPr>
        <w:widowControl w:val="0"/>
        <w:tabs>
          <w:tab w:val="center" w:pos="4779"/>
          <w:tab w:val="right" w:pos="9198"/>
        </w:tabs>
        <w:autoSpaceDE w:val="0"/>
        <w:ind w:right="-28"/>
        <w:jc w:val="both"/>
        <w:rPr>
          <w:b/>
        </w:rPr>
      </w:pPr>
    </w:p>
    <w:p w14:paraId="7AE45AC4">
      <w:pPr>
        <w:widowControl w:val="0"/>
        <w:tabs>
          <w:tab w:val="center" w:pos="4779"/>
          <w:tab w:val="right" w:pos="9198"/>
        </w:tabs>
        <w:autoSpaceDE w:val="0"/>
        <w:ind w:right="-28"/>
        <w:jc w:val="both"/>
      </w:pPr>
      <w:r>
        <w:rPr>
          <w:b/>
        </w:rPr>
        <w:t>CLÁUSULA QUINTA:</w:t>
      </w:r>
    </w:p>
    <w:p w14:paraId="257B063E">
      <w:pPr>
        <w:widowControl w:val="0"/>
        <w:tabs>
          <w:tab w:val="center" w:pos="4779"/>
          <w:tab w:val="right" w:pos="9198"/>
        </w:tabs>
        <w:autoSpaceDE w:val="0"/>
        <w:ind w:right="-28"/>
        <w:jc w:val="both"/>
        <w:rPr>
          <w:b/>
        </w:rPr>
      </w:pPr>
    </w:p>
    <w:p w14:paraId="7BAB47DF">
      <w:pPr>
        <w:widowControl w:val="0"/>
        <w:tabs>
          <w:tab w:val="center" w:pos="4779"/>
          <w:tab w:val="right" w:pos="9198"/>
        </w:tabs>
        <w:autoSpaceDE w:val="0"/>
        <w:ind w:right="-28"/>
        <w:jc w:val="both"/>
      </w:pPr>
      <w:r>
        <w:rPr>
          <w:b/>
        </w:rPr>
        <w:t xml:space="preserve">5.1. DO(S) ÓRGÃO(S) PARTICIPANTE(S): </w:t>
      </w:r>
    </w:p>
    <w:p w14:paraId="74F11D8F">
      <w:pPr>
        <w:widowControl w:val="0"/>
        <w:tabs>
          <w:tab w:val="center" w:pos="4779"/>
          <w:tab w:val="right" w:pos="9198"/>
        </w:tabs>
        <w:autoSpaceDE w:val="0"/>
        <w:ind w:right="-28"/>
        <w:jc w:val="both"/>
      </w:pPr>
      <w:r>
        <w:rPr>
          <w:b/>
        </w:rPr>
        <w:t xml:space="preserve">5.1.1. </w:t>
      </w:r>
      <w:r>
        <w:t>A presente ARP é para suprir demandas dos órgãos e entidades municipal, abaixo citados:</w:t>
      </w:r>
    </w:p>
    <w:p w14:paraId="6107F859">
      <w:pPr>
        <w:widowControl w:val="0"/>
        <w:tabs>
          <w:tab w:val="center" w:pos="4779"/>
          <w:tab w:val="right" w:pos="9198"/>
        </w:tabs>
        <w:autoSpaceDE w:val="0"/>
        <w:ind w:right="-28"/>
        <w:jc w:val="both"/>
      </w:pPr>
    </w:p>
    <w:tbl>
      <w:tblPr>
        <w:tblStyle w:val="12"/>
        <w:tblW w:w="9103" w:type="dxa"/>
        <w:tblInd w:w="108" w:type="dxa"/>
        <w:tblLayout w:type="fixed"/>
        <w:tblCellMar>
          <w:top w:w="0" w:type="dxa"/>
          <w:left w:w="108" w:type="dxa"/>
          <w:bottom w:w="0" w:type="dxa"/>
          <w:right w:w="108" w:type="dxa"/>
        </w:tblCellMar>
      </w:tblPr>
      <w:tblGrid>
        <w:gridCol w:w="4425"/>
        <w:gridCol w:w="4678"/>
      </w:tblGrid>
      <w:tr w14:paraId="209BF480">
        <w:tblPrEx>
          <w:tblCellMar>
            <w:top w:w="0" w:type="dxa"/>
            <w:left w:w="108" w:type="dxa"/>
            <w:bottom w:w="0" w:type="dxa"/>
            <w:right w:w="108" w:type="dxa"/>
          </w:tblCellMar>
        </w:tblPrEx>
        <w:trPr>
          <w:trHeight w:val="240" w:hRule="atLeast"/>
        </w:trPr>
        <w:tc>
          <w:tcPr>
            <w:tcW w:w="4425" w:type="dxa"/>
            <w:tcBorders>
              <w:top w:val="single" w:color="000000" w:sz="2" w:space="0"/>
              <w:left w:val="single" w:color="000000" w:sz="2" w:space="0"/>
              <w:bottom w:val="single" w:color="000000" w:sz="2" w:space="0"/>
              <w:right w:val="single" w:color="000000" w:sz="2" w:space="0"/>
            </w:tcBorders>
            <w:vAlign w:val="center"/>
          </w:tcPr>
          <w:p w14:paraId="09CF62D9">
            <w:pPr>
              <w:jc w:val="center"/>
              <w:textAlignment w:val="center"/>
            </w:pPr>
            <w:r>
              <w:rPr>
                <w:color w:val="000000"/>
                <w:lang w:val="en-US" w:bidi="ar"/>
              </w:rPr>
              <w:t xml:space="preserve">SECRETARIA </w:t>
            </w:r>
          </w:p>
        </w:tc>
        <w:tc>
          <w:tcPr>
            <w:tcW w:w="4678" w:type="dxa"/>
            <w:tcBorders>
              <w:top w:val="single" w:color="000000" w:sz="2" w:space="0"/>
              <w:left w:val="single" w:color="000000" w:sz="2" w:space="0"/>
              <w:bottom w:val="single" w:color="000000" w:sz="2" w:space="0"/>
              <w:right w:val="single" w:color="000000" w:sz="2" w:space="0"/>
            </w:tcBorders>
            <w:vAlign w:val="center"/>
          </w:tcPr>
          <w:p w14:paraId="740FE39D">
            <w:pPr>
              <w:jc w:val="center"/>
              <w:textAlignment w:val="center"/>
            </w:pPr>
            <w:r>
              <w:rPr>
                <w:color w:val="000000"/>
                <w:lang w:bidi="ar"/>
              </w:rPr>
              <w:t>RESPONSÁVEL</w:t>
            </w:r>
          </w:p>
        </w:tc>
      </w:tr>
      <w:tr w14:paraId="46B85BCF">
        <w:tblPrEx>
          <w:tblCellMar>
            <w:top w:w="0" w:type="dxa"/>
            <w:left w:w="108" w:type="dxa"/>
            <w:bottom w:w="0" w:type="dxa"/>
            <w:right w:w="108" w:type="dxa"/>
          </w:tblCellMar>
        </w:tblPrEx>
        <w:trPr>
          <w:trHeight w:val="240" w:hRule="atLeast"/>
        </w:trPr>
        <w:tc>
          <w:tcPr>
            <w:tcW w:w="4425" w:type="dxa"/>
            <w:tcBorders>
              <w:top w:val="single" w:color="000000" w:sz="2" w:space="0"/>
              <w:left w:val="single" w:color="000000" w:sz="2" w:space="0"/>
              <w:bottom w:val="single" w:color="000000" w:sz="2" w:space="0"/>
              <w:right w:val="single" w:color="000000" w:sz="2" w:space="0"/>
            </w:tcBorders>
            <w:vAlign w:val="center"/>
          </w:tcPr>
          <w:p w14:paraId="19FF8CB9">
            <w:pPr>
              <w:jc w:val="center"/>
              <w:textAlignment w:val="center"/>
            </w:pPr>
            <w:r>
              <w:rPr>
                <w:color w:val="000000"/>
                <w:lang w:bidi="ar"/>
              </w:rPr>
              <w:t>SECRETARIA MUNICIPAL DE MOBILIDADE URBANA</w:t>
            </w:r>
          </w:p>
        </w:tc>
        <w:tc>
          <w:tcPr>
            <w:tcW w:w="4678" w:type="dxa"/>
            <w:tcBorders>
              <w:top w:val="single" w:color="000000" w:sz="2" w:space="0"/>
              <w:left w:val="single" w:color="000000" w:sz="2" w:space="0"/>
              <w:bottom w:val="single" w:color="000000" w:sz="2" w:space="0"/>
              <w:right w:val="single" w:color="000000" w:sz="2" w:space="0"/>
            </w:tcBorders>
            <w:vAlign w:val="center"/>
          </w:tcPr>
          <w:p w14:paraId="7BC64DD9">
            <w:pPr>
              <w:jc w:val="center"/>
              <w:textAlignment w:val="center"/>
              <w:rPr>
                <w:color w:val="000000"/>
                <w:lang w:bidi="ar"/>
              </w:rPr>
            </w:pPr>
            <w:r>
              <w:rPr>
                <w:b/>
                <w:bCs/>
                <w:color w:val="000000"/>
                <w:lang w:bidi="ar"/>
              </w:rPr>
              <w:t>THALES TATÍ GONÇALVES VICENTE</w:t>
            </w:r>
          </w:p>
          <w:p w14:paraId="01A58A54">
            <w:pPr>
              <w:jc w:val="center"/>
              <w:textAlignment w:val="center"/>
            </w:pPr>
          </w:p>
        </w:tc>
      </w:tr>
    </w:tbl>
    <w:p w14:paraId="29A6DCE2">
      <w:pPr>
        <w:autoSpaceDE w:val="0"/>
        <w:jc w:val="both"/>
        <w:rPr>
          <w:b/>
        </w:rPr>
      </w:pPr>
    </w:p>
    <w:p w14:paraId="01749063">
      <w:pPr>
        <w:autoSpaceDE w:val="0"/>
        <w:jc w:val="both"/>
      </w:pPr>
      <w:r>
        <w:rPr>
          <w:b/>
        </w:rPr>
        <w:t>5.2. DA(S) DOTAÇÃO(ÕES) ORÇAMENTÁRIA(S):</w:t>
      </w:r>
    </w:p>
    <w:p w14:paraId="6FD3E7F9">
      <w:pPr>
        <w:autoSpaceDE w:val="0"/>
        <w:jc w:val="both"/>
        <w:rPr>
          <w:b/>
        </w:rPr>
      </w:pPr>
    </w:p>
    <w:p w14:paraId="2F773CA3">
      <w:pPr>
        <w:autoSpaceDE w:val="0"/>
        <w:jc w:val="both"/>
      </w:pPr>
      <w:r>
        <w:rPr>
          <w:b/>
        </w:rPr>
        <w:t xml:space="preserve">5.2.1. </w:t>
      </w:r>
      <w:r>
        <w:rPr>
          <w:color w:val="231F20"/>
        </w:rPr>
        <w:t xml:space="preserve">Na licitação para registro de preços não é necessário indicar a dotação orçamentária ou qualquer outra informação da origem dos recursos orçamentários, que somente serão exigidas para a formalização do contrato ou outro instrumento hábil. (Art. 299, §2º do </w:t>
      </w:r>
      <w:r>
        <w:t>Decreto Municipal 11.685/2023)</w:t>
      </w:r>
    </w:p>
    <w:p w14:paraId="0C5DFDED">
      <w:pPr>
        <w:autoSpaceDE w:val="0"/>
        <w:jc w:val="both"/>
        <w:rPr>
          <w:b/>
          <w:color w:val="231F20"/>
        </w:rPr>
      </w:pPr>
    </w:p>
    <w:p w14:paraId="0CE3363B">
      <w:pPr>
        <w:autoSpaceDE w:val="0"/>
        <w:jc w:val="both"/>
      </w:pPr>
      <w:r>
        <w:rPr>
          <w:b/>
        </w:rPr>
        <w:t>CLÁUSULA SEXTA – DO SISTEMA DO REGISTRO DE PREÇOS:</w:t>
      </w:r>
    </w:p>
    <w:p w14:paraId="03A433B4">
      <w:pPr>
        <w:autoSpaceDE w:val="0"/>
        <w:jc w:val="both"/>
        <w:rPr>
          <w:b/>
          <w:color w:val="231F20"/>
        </w:rPr>
      </w:pPr>
    </w:p>
    <w:p w14:paraId="4D6031B1">
      <w:pPr>
        <w:autoSpaceDE w:val="0"/>
        <w:jc w:val="both"/>
      </w:pPr>
      <w:r>
        <w:rPr>
          <w:b/>
          <w:color w:val="231F20"/>
        </w:rPr>
        <w:t>6.1.</w:t>
      </w:r>
      <w:r>
        <w:rPr>
          <w:color w:val="231F20"/>
        </w:rPr>
        <w:t xml:space="preserve"> O Sistema de Registro de Preços regula-se pelas normas e procedimentos previstos na Lei Federal nº 14.133/21, no Decreto Municipal n° 11.685/2023 e nas demais normas complementares.</w:t>
      </w:r>
    </w:p>
    <w:p w14:paraId="7E5F4111">
      <w:pPr>
        <w:autoSpaceDE w:val="0"/>
        <w:jc w:val="both"/>
        <w:rPr>
          <w:color w:val="231F20"/>
        </w:rPr>
      </w:pPr>
    </w:p>
    <w:p w14:paraId="27502D5A">
      <w:pPr>
        <w:autoSpaceDE w:val="0"/>
        <w:jc w:val="both"/>
      </w:pPr>
      <w:bookmarkStart w:id="32" w:name="_30j0zll"/>
      <w:bookmarkEnd w:id="32"/>
      <w:r>
        <w:rPr>
          <w:b/>
          <w:color w:val="231F20"/>
        </w:rPr>
        <w:t>6.2.</w:t>
      </w:r>
      <w:r>
        <w:rPr>
          <w:color w:val="231F20"/>
        </w:rPr>
        <w:t xml:space="preserve"> Uma vez registrados o(s) preço(s), a Administração poderá convocar o Detentor a fornecer o(s) produto(s) respectivo(s), na forma e condições fixadas no edital, anexos e nesta ARP.</w:t>
      </w:r>
    </w:p>
    <w:p w14:paraId="49E8990E">
      <w:pPr>
        <w:autoSpaceDE w:val="0"/>
        <w:jc w:val="both"/>
        <w:rPr>
          <w:color w:val="231F20"/>
        </w:rPr>
      </w:pPr>
    </w:p>
    <w:p w14:paraId="7B44933C">
      <w:pPr>
        <w:autoSpaceDE w:val="0"/>
        <w:jc w:val="both"/>
      </w:pPr>
      <w:r>
        <w:rPr>
          <w:b/>
          <w:color w:val="231F20"/>
        </w:rPr>
        <w:t>6.3.</w:t>
      </w:r>
      <w:r>
        <w:rPr>
          <w:color w:val="231F20"/>
        </w:rPr>
        <w:t xml:space="preserve"> A existência de preço(s) registrado(s) implicará compromisso de fornecimento nas condições estabelecidas no instrumento convocatório e na sua proposta, mas não obrigará a contratação, facultada a realização de licitação específica para a aquisição pretendida, desde que devidamente motivada.</w:t>
      </w:r>
    </w:p>
    <w:p w14:paraId="10D16D3F">
      <w:pPr>
        <w:autoSpaceDE w:val="0"/>
        <w:jc w:val="both"/>
        <w:rPr>
          <w:color w:val="231F20"/>
        </w:rPr>
      </w:pPr>
    </w:p>
    <w:p w14:paraId="4D58B485">
      <w:pPr>
        <w:autoSpaceDE w:val="0"/>
        <w:jc w:val="both"/>
      </w:pPr>
      <w:r>
        <w:rPr>
          <w:b/>
          <w:color w:val="231F20"/>
        </w:rPr>
        <w:t>6.4.</w:t>
      </w:r>
      <w:r>
        <w:rPr>
          <w:color w:val="231F20"/>
        </w:rPr>
        <w:t xml:space="preserve"> É vedada a aquisição do(s) produto(s) por valor(es) superior(es) ao(s) registrado(s) vigente(s).</w:t>
      </w:r>
    </w:p>
    <w:p w14:paraId="5F1239B7">
      <w:pPr>
        <w:autoSpaceDE w:val="0"/>
        <w:jc w:val="both"/>
        <w:rPr>
          <w:color w:val="231F20"/>
        </w:rPr>
      </w:pPr>
    </w:p>
    <w:p w14:paraId="593D14CB">
      <w:pPr>
        <w:autoSpaceDE w:val="0"/>
        <w:jc w:val="both"/>
      </w:pPr>
      <w:r>
        <w:rPr>
          <w:b/>
          <w:color w:val="231F20"/>
        </w:rPr>
        <w:t>6.5.</w:t>
      </w:r>
      <w:r>
        <w:rPr>
          <w:color w:val="231F20"/>
        </w:rPr>
        <w:t xml:space="preserve"> O Detentor fica obrigado a atender a todos os pedidos de fornecimento efetuados durante a vigência do Registro de Preços.</w:t>
      </w:r>
    </w:p>
    <w:p w14:paraId="7DF40D14">
      <w:pPr>
        <w:autoSpaceDE w:val="0"/>
        <w:jc w:val="both"/>
      </w:pPr>
      <w:r>
        <w:rPr>
          <w:b/>
          <w:color w:val="231F20"/>
        </w:rPr>
        <w:t>6.6</w:t>
      </w:r>
      <w:r>
        <w:rPr>
          <w:color w:val="231F20"/>
        </w:rPr>
        <w:t>. O Detentor deverá garantir a qualidade do(s) produto(s) entregue(s) mesmo após o vencimento da ARP.</w:t>
      </w:r>
    </w:p>
    <w:p w14:paraId="16A6B925">
      <w:pPr>
        <w:autoSpaceDE w:val="0"/>
        <w:jc w:val="both"/>
        <w:rPr>
          <w:color w:val="231F20"/>
        </w:rPr>
      </w:pPr>
    </w:p>
    <w:p w14:paraId="1519841B">
      <w:pPr>
        <w:autoSpaceDE w:val="0"/>
        <w:jc w:val="both"/>
      </w:pPr>
      <w:r>
        <w:rPr>
          <w:b/>
        </w:rPr>
        <w:t>CLÁUSULA SÉTIMA – DA EXECUÇÃO DA ATA:</w:t>
      </w:r>
    </w:p>
    <w:p w14:paraId="502367C5">
      <w:pPr>
        <w:autoSpaceDE w:val="0"/>
        <w:jc w:val="both"/>
      </w:pPr>
      <w:r>
        <w:rPr>
          <w:b/>
          <w:color w:val="231F20"/>
        </w:rPr>
        <w:t>7.1.</w:t>
      </w:r>
      <w:r>
        <w:rPr>
          <w:color w:val="231F20"/>
        </w:rPr>
        <w:t xml:space="preserve"> A contratação do objeto licitado será efetivada mediante formalização de contrato, vinculado à presente Ata de Registro de Preços e em conformidade com a legislação pertinente, bem como Decreto Municipal nº 11.685/2023.</w:t>
      </w:r>
    </w:p>
    <w:p w14:paraId="7950C2FC">
      <w:pPr>
        <w:autoSpaceDE w:val="0"/>
        <w:jc w:val="both"/>
        <w:rPr>
          <w:color w:val="231F20"/>
        </w:rPr>
      </w:pPr>
    </w:p>
    <w:p w14:paraId="2A553642">
      <w:pPr>
        <w:autoSpaceDE w:val="0"/>
        <w:jc w:val="both"/>
      </w:pPr>
      <w:r>
        <w:rPr>
          <w:b/>
          <w:color w:val="231F20"/>
        </w:rPr>
        <w:t>7.2.</w:t>
      </w:r>
      <w:r>
        <w:rPr>
          <w:color w:val="231F20"/>
        </w:rPr>
        <w:t xml:space="preserve"> Após autorização, a Gerência ................. ou equivalente de cada um dos Órgãos Participantes do Registro encaminhará Nota de Empenho ou outro instrumento equivalente ao Detentor da ARP, via e-mail ou outro meio de comunicação eficaz.</w:t>
      </w:r>
    </w:p>
    <w:p w14:paraId="220F4D6E">
      <w:pPr>
        <w:autoSpaceDE w:val="0"/>
        <w:jc w:val="both"/>
        <w:rPr>
          <w:color w:val="231F20"/>
        </w:rPr>
      </w:pPr>
    </w:p>
    <w:p w14:paraId="401A4B6E">
      <w:pPr>
        <w:autoSpaceDE w:val="0"/>
        <w:jc w:val="both"/>
      </w:pPr>
      <w:r>
        <w:rPr>
          <w:b/>
          <w:color w:val="231F20"/>
        </w:rPr>
        <w:t>7.2.1.</w:t>
      </w:r>
      <w:r>
        <w:rPr>
          <w:color w:val="231F20"/>
        </w:rPr>
        <w:t xml:space="preserve"> A comprovação de que o Detentor recebeu a Nota de Empenho ou outro instrumento equivalente deverá ocorrer via e-mail ou outro meio de comunicação eficaz.</w:t>
      </w:r>
    </w:p>
    <w:p w14:paraId="4BCC85F7">
      <w:pPr>
        <w:autoSpaceDE w:val="0"/>
        <w:jc w:val="both"/>
        <w:rPr>
          <w:color w:val="231F20"/>
        </w:rPr>
      </w:pPr>
    </w:p>
    <w:p w14:paraId="003C27C1">
      <w:pPr>
        <w:autoSpaceDE w:val="0"/>
        <w:jc w:val="both"/>
      </w:pPr>
      <w:r>
        <w:rPr>
          <w:b/>
          <w:color w:val="231F20"/>
        </w:rPr>
        <w:t>7.3.</w:t>
      </w:r>
      <w:r>
        <w:rPr>
          <w:color w:val="231F20"/>
        </w:rPr>
        <w:t xml:space="preserve"> Na hipótese de as Gerências não conseguirem um meio eficaz para envio da Nota de Empenho ou outro instrumento equivalente ao Detentor, deverá ser publicado um aviso no Diário Oficial do Município - DIORONDON, para que o Detentor retire a Nota de Empenho ou outro instrumento hábil no prazo máximo de 03 (três) dias úteis contados da convocação.</w:t>
      </w:r>
    </w:p>
    <w:p w14:paraId="1ECDD47B">
      <w:pPr>
        <w:autoSpaceDE w:val="0"/>
        <w:jc w:val="both"/>
        <w:rPr>
          <w:color w:val="231F20"/>
        </w:rPr>
      </w:pPr>
    </w:p>
    <w:p w14:paraId="595D4375">
      <w:pPr>
        <w:autoSpaceDE w:val="0"/>
        <w:jc w:val="both"/>
      </w:pPr>
      <w:r>
        <w:rPr>
          <w:b/>
          <w:color w:val="231F20"/>
        </w:rPr>
        <w:t>7.4.</w:t>
      </w:r>
      <w:r>
        <w:rPr>
          <w:color w:val="231F20"/>
        </w:rPr>
        <w:t xml:space="preserve"> A critério da Gerência solicitante, quando se fizer necessária a verificação da qualidade e do atendimento às legislações específicas pertinentes, a Administração determinará as análises necessárias e prazos para a entrega do(s) produto(s), com ônus para o Detentor, ficando suspenso o pagamento da Nota Fiscal/Fatura correspondente.</w:t>
      </w:r>
    </w:p>
    <w:p w14:paraId="69F1C062">
      <w:pPr>
        <w:autoSpaceDE w:val="0"/>
        <w:jc w:val="both"/>
        <w:rPr>
          <w:b/>
          <w:color w:val="231F20"/>
        </w:rPr>
      </w:pPr>
    </w:p>
    <w:p w14:paraId="7A6E6A7B">
      <w:pPr>
        <w:autoSpaceDE w:val="0"/>
        <w:jc w:val="both"/>
      </w:pPr>
      <w:r>
        <w:rPr>
          <w:b/>
        </w:rPr>
        <w:t>CLÁUSULA OITAVA – DOS PRAZOS, CONDIÇÕES DE ENTREGA, ACONDICIONAMENTO E TRANSPORTE</w:t>
      </w:r>
    </w:p>
    <w:p w14:paraId="78F7ECB0">
      <w:pPr>
        <w:autoSpaceDE w:val="0"/>
        <w:jc w:val="both"/>
        <w:rPr>
          <w:b/>
          <w:color w:val="231F20"/>
        </w:rPr>
      </w:pPr>
    </w:p>
    <w:p w14:paraId="5A400D74">
      <w:pPr>
        <w:autoSpaceDE w:val="0"/>
        <w:jc w:val="both"/>
      </w:pPr>
      <w:r>
        <w:rPr>
          <w:b/>
          <w:color w:val="231F20"/>
        </w:rPr>
        <w:t>8.1.</w:t>
      </w:r>
      <w:r>
        <w:rPr>
          <w:color w:val="231F20"/>
        </w:rPr>
        <w:t xml:space="preserve"> As regras referentes aos prazos, condições de entrega, acondimento, transporte e os locais de entrega, constam no Termo de Referência. </w:t>
      </w:r>
    </w:p>
    <w:p w14:paraId="6650FC2C">
      <w:pPr>
        <w:autoSpaceDE w:val="0"/>
        <w:jc w:val="both"/>
        <w:rPr>
          <w:b/>
          <w:color w:val="231F20"/>
        </w:rPr>
      </w:pPr>
    </w:p>
    <w:p w14:paraId="4BE70671">
      <w:pPr>
        <w:autoSpaceDE w:val="0"/>
        <w:jc w:val="both"/>
      </w:pPr>
      <w:r>
        <w:rPr>
          <w:b/>
        </w:rPr>
        <w:t>CLÁUSULA NONA – DO RECEBIMENTO DO(S) PRODUTO(S):</w:t>
      </w:r>
    </w:p>
    <w:p w14:paraId="78EEEA73">
      <w:pPr>
        <w:autoSpaceDE w:val="0"/>
        <w:jc w:val="both"/>
        <w:rPr>
          <w:b/>
          <w:color w:val="231F20"/>
        </w:rPr>
      </w:pPr>
    </w:p>
    <w:p w14:paraId="00A52FF9">
      <w:pPr>
        <w:autoSpaceDE w:val="0"/>
        <w:jc w:val="both"/>
      </w:pPr>
      <w:r>
        <w:rPr>
          <w:b/>
          <w:color w:val="231F20"/>
        </w:rPr>
        <w:t>9.1.</w:t>
      </w:r>
      <w:r>
        <w:rPr>
          <w:color w:val="231F20"/>
        </w:rPr>
        <w:t xml:space="preserve"> As regras referentes ao recebimento do(s) produto(s) constam no Termo de Referência.</w:t>
      </w:r>
    </w:p>
    <w:p w14:paraId="5C2E100A">
      <w:pPr>
        <w:autoSpaceDE w:val="0"/>
        <w:jc w:val="both"/>
        <w:rPr>
          <w:color w:val="231F20"/>
        </w:rPr>
      </w:pPr>
    </w:p>
    <w:p w14:paraId="6E2A2C65">
      <w:pPr>
        <w:autoSpaceDE w:val="0"/>
        <w:jc w:val="both"/>
      </w:pPr>
      <w:r>
        <w:rPr>
          <w:b/>
          <w:color w:val="231F20"/>
        </w:rPr>
        <w:t>CLÁUSULA DÉCIMA – DAS CONDIÇÕES DE PAGAMENTO:</w:t>
      </w:r>
    </w:p>
    <w:p w14:paraId="62F5FF0C">
      <w:pPr>
        <w:autoSpaceDE w:val="0"/>
        <w:jc w:val="both"/>
        <w:rPr>
          <w:b/>
          <w:color w:val="231F20"/>
        </w:rPr>
      </w:pPr>
    </w:p>
    <w:p w14:paraId="12465FFB">
      <w:pPr>
        <w:autoSpaceDE w:val="0"/>
        <w:jc w:val="both"/>
        <w:rPr>
          <w:color w:val="231F20"/>
        </w:rPr>
      </w:pPr>
      <w:r>
        <w:rPr>
          <w:b/>
          <w:color w:val="231F20"/>
        </w:rPr>
        <w:t>10.1.</w:t>
      </w:r>
      <w:r>
        <w:rPr>
          <w:color w:val="231F20"/>
        </w:rPr>
        <w:t xml:space="preserve"> As regras referentes às condições de pagamento constam no Termo de Referência.</w:t>
      </w:r>
    </w:p>
    <w:p w14:paraId="371B359A">
      <w:pPr>
        <w:autoSpaceDE w:val="0"/>
        <w:jc w:val="both"/>
        <w:rPr>
          <w:b/>
          <w:color w:val="000000"/>
        </w:rPr>
      </w:pPr>
    </w:p>
    <w:p w14:paraId="30DCD3E3">
      <w:pPr>
        <w:autoSpaceDE w:val="0"/>
        <w:jc w:val="both"/>
      </w:pPr>
      <w:r>
        <w:rPr>
          <w:b/>
          <w:color w:val="000000"/>
        </w:rPr>
        <w:t>CLÁUSULA DÉCIMA PRIMEIRA – DA ALTERAÇÃO DE MARCA E DE PREÇO:</w:t>
      </w:r>
    </w:p>
    <w:p w14:paraId="22B96BAE">
      <w:pPr>
        <w:autoSpaceDE w:val="0"/>
        <w:jc w:val="both"/>
        <w:rPr>
          <w:b/>
          <w:color w:val="000000"/>
        </w:rPr>
      </w:pPr>
    </w:p>
    <w:p w14:paraId="3E64BF3D">
      <w:pPr>
        <w:autoSpaceDE w:val="0"/>
        <w:jc w:val="both"/>
      </w:pPr>
      <w:r>
        <w:rPr>
          <w:b/>
          <w:color w:val="231F20"/>
        </w:rPr>
        <w:t>11.1.</w:t>
      </w:r>
      <w:r>
        <w:rPr>
          <w:color w:val="231F20"/>
        </w:rPr>
        <w:t xml:space="preserve">  A ARP poderá ser alterada mediante a substituição de marca nas seguintes condições:</w:t>
      </w:r>
    </w:p>
    <w:p w14:paraId="3A095683">
      <w:pPr>
        <w:autoSpaceDE w:val="0"/>
        <w:jc w:val="both"/>
      </w:pPr>
      <w:r>
        <w:t> </w:t>
      </w:r>
    </w:p>
    <w:p w14:paraId="1348A0C8">
      <w:pPr>
        <w:autoSpaceDE w:val="0"/>
        <w:jc w:val="both"/>
      </w:pPr>
      <w:r>
        <w:rPr>
          <w:b/>
          <w:color w:val="231F20"/>
        </w:rPr>
        <w:t xml:space="preserve">I </w:t>
      </w:r>
      <w:r>
        <w:rPr>
          <w:color w:val="231F20"/>
        </w:rPr>
        <w:t>- Por solicitação do Órgão ou da Entidade Gerenciadora, se comprovado que a marca não mais atende às especificações exigidas ou se encontra fora da legislação aplicável;</w:t>
      </w:r>
    </w:p>
    <w:p w14:paraId="644CCD2E">
      <w:pPr>
        <w:autoSpaceDE w:val="0"/>
        <w:jc w:val="both"/>
        <w:rPr>
          <w:color w:val="231F20"/>
        </w:rPr>
      </w:pPr>
    </w:p>
    <w:p w14:paraId="71684436">
      <w:pPr>
        <w:autoSpaceDE w:val="0"/>
        <w:jc w:val="both"/>
      </w:pPr>
      <w:r>
        <w:rPr>
          <w:b/>
          <w:color w:val="231F20"/>
        </w:rPr>
        <w:t>II</w:t>
      </w:r>
      <w:r>
        <w:rPr>
          <w:color w:val="231F20"/>
        </w:rPr>
        <w:t xml:space="preserve"> - Por requerimento do Detentor, que deve ser apreciado pelo Órgão ou Entidade Gerenciadora, em hipótese que comprove a impossibilidade de fornecimento.</w:t>
      </w:r>
    </w:p>
    <w:p w14:paraId="480DB80A">
      <w:pPr>
        <w:autoSpaceDE w:val="0"/>
        <w:jc w:val="both"/>
      </w:pPr>
      <w:r>
        <w:t> </w:t>
      </w:r>
    </w:p>
    <w:p w14:paraId="515A2B2D">
      <w:pPr>
        <w:autoSpaceDE w:val="0"/>
        <w:jc w:val="both"/>
      </w:pPr>
      <w:r>
        <w:rPr>
          <w:b/>
          <w:color w:val="231F20"/>
        </w:rPr>
        <w:t>11.1.1.</w:t>
      </w:r>
      <w:r>
        <w:rPr>
          <w:color w:val="231F20"/>
        </w:rPr>
        <w:t xml:space="preserve"> O Órgão ou Entidade Gerenciadora somente poderá aquiescer com a substituição requerida pelo Detentor se comprovadamente houver igualdade de condições ou vantagem para o interesse público.</w:t>
      </w:r>
    </w:p>
    <w:p w14:paraId="0B374B7F">
      <w:pPr>
        <w:autoSpaceDE w:val="0"/>
        <w:jc w:val="both"/>
        <w:rPr>
          <w:b/>
          <w:color w:val="231F20"/>
        </w:rPr>
      </w:pPr>
    </w:p>
    <w:p w14:paraId="6357FB0F">
      <w:pPr>
        <w:autoSpaceDE w:val="0"/>
        <w:jc w:val="both"/>
      </w:pPr>
      <w:r>
        <w:rPr>
          <w:b/>
          <w:color w:val="231F20"/>
        </w:rPr>
        <w:t>11.1.2.</w:t>
      </w:r>
      <w:r>
        <w:rPr>
          <w:color w:val="231F20"/>
        </w:rPr>
        <w:t xml:space="preserve"> A substituição de marca implicará em nova análise do produto, conforme previsto no edital, anexos e na legislação aplicável. </w:t>
      </w:r>
    </w:p>
    <w:p w14:paraId="414769EE">
      <w:pPr>
        <w:autoSpaceDE w:val="0"/>
        <w:jc w:val="both"/>
        <w:rPr>
          <w:color w:val="231F20"/>
        </w:rPr>
      </w:pPr>
    </w:p>
    <w:p w14:paraId="6BB7B67C">
      <w:pPr>
        <w:autoSpaceDE w:val="0"/>
        <w:jc w:val="both"/>
      </w:pPr>
      <w:r>
        <w:rPr>
          <w:b/>
          <w:color w:val="231F20"/>
        </w:rPr>
        <w:t>11.1.3.</w:t>
      </w:r>
      <w:r>
        <w:rPr>
          <w:color w:val="231F20"/>
        </w:rPr>
        <w:t xml:space="preserve"> A substituição de marca deverá ser publicada obrigatoriamente no DIORONDON.</w:t>
      </w:r>
    </w:p>
    <w:p w14:paraId="01E0A9E3">
      <w:pPr>
        <w:autoSpaceDE w:val="0"/>
        <w:jc w:val="both"/>
        <w:rPr>
          <w:color w:val="231F20"/>
        </w:rPr>
      </w:pPr>
    </w:p>
    <w:p w14:paraId="22E2203D">
      <w:pPr>
        <w:autoSpaceDE w:val="0"/>
        <w:jc w:val="both"/>
      </w:pPr>
      <w:r>
        <w:rPr>
          <w:b/>
        </w:rPr>
        <w:t>CLÁUSULA DÉCIMA SEGUNDA – DA PESQUISA DE PREÇOS:</w:t>
      </w:r>
    </w:p>
    <w:p w14:paraId="57FB9589">
      <w:pPr>
        <w:autoSpaceDE w:val="0"/>
        <w:jc w:val="both"/>
        <w:rPr>
          <w:b/>
          <w:color w:val="231F20"/>
        </w:rPr>
      </w:pPr>
    </w:p>
    <w:p w14:paraId="69A47D49">
      <w:pPr>
        <w:jc w:val="both"/>
      </w:pPr>
      <w:r>
        <w:rPr>
          <w:b/>
        </w:rPr>
        <w:t xml:space="preserve">12.1. </w:t>
      </w:r>
      <w:r>
        <w:t>Os requisitos que utilizamos para a realização de pesquisa de preços com intenção na aquisição do objeto deste Termo Referencial está seguindo o contexto das normativas estabelecidas pela Lei 14.133/2021 e pela Instrução Normativa 65/2021 SEGES/ME. Para tal descrevemos abaixo cada um dos requisitos que compõem a estimativa de preços levantadas e suas formas de cotação.</w:t>
      </w:r>
    </w:p>
    <w:p w14:paraId="66675586">
      <w:pPr>
        <w:jc w:val="both"/>
      </w:pPr>
    </w:p>
    <w:p w14:paraId="2548E720">
      <w:pPr>
        <w:jc w:val="both"/>
      </w:pPr>
      <w:r>
        <w:rPr>
          <w:b/>
        </w:rPr>
        <w:t>12.2.</w:t>
      </w:r>
      <w:r>
        <w:t xml:space="preserve"> A estimativa dos valores unitários citados neste Termo Referencial bem como o valor total global da aquisição de bens de consumo e permanentes (constam em planilhas no item II dos Quantitativos); foram obtidos através de pesquisa de preços onde utilizamos como métodos e fonte de pesquisas as seguintes ferramentas: plataforma de preços públicos TCE-Radar (</w:t>
      </w:r>
      <w:r>
        <w:fldChar w:fldCharType="begin"/>
      </w:r>
      <w:r>
        <w:instrText xml:space="preserve"> HYPERLINK "https://radardeprecos.tce.mt.gov.br/extensions/%20radarcompraspublicas/panel.html" </w:instrText>
      </w:r>
      <w:r>
        <w:fldChar w:fldCharType="separate"/>
      </w:r>
      <w:r>
        <w:rPr>
          <w:rStyle w:val="19"/>
        </w:rPr>
        <w:t>https://radardeprecos.tce.mt.gov.br/extensions/ radarcompraspublicas/panel.html</w:t>
      </w:r>
      <w:r>
        <w:rPr>
          <w:rStyle w:val="19"/>
        </w:rPr>
        <w:fldChar w:fldCharType="end"/>
      </w:r>
      <w:r>
        <w:t xml:space="preserve">); Painel de preços (https://paineldeprecos.planejamento.gov.br/) e Portal Nacional de Contratações Públicas-PNCP. </w:t>
      </w:r>
    </w:p>
    <w:p w14:paraId="78D76A3F">
      <w:pPr>
        <w:jc w:val="both"/>
      </w:pPr>
    </w:p>
    <w:p w14:paraId="7B13F8DB">
      <w:pPr>
        <w:jc w:val="both"/>
      </w:pPr>
      <w:r>
        <w:rPr>
          <w:b/>
        </w:rPr>
        <w:t>12.3.</w:t>
      </w:r>
      <w:r>
        <w:t xml:space="preserve"> A identificação do(a) responsável pela pesquisa preços consta com os seguintes dados: nome completo; cargo bem como o número de matrícula em todas as páginas com os orçamentos que compõem este termo referencial.</w:t>
      </w:r>
    </w:p>
    <w:p w14:paraId="483EE112">
      <w:pPr>
        <w:autoSpaceDE w:val="0"/>
        <w:jc w:val="both"/>
        <w:rPr>
          <w:b/>
        </w:rPr>
      </w:pPr>
    </w:p>
    <w:p w14:paraId="2F4D3E97">
      <w:pPr>
        <w:autoSpaceDE w:val="0"/>
        <w:jc w:val="both"/>
      </w:pPr>
      <w:r>
        <w:rPr>
          <w:b/>
        </w:rPr>
        <w:t>CLÁUSULA DÉCIMA TERCEIRA – DAS OBRIGAÇÕES DO ÓRGÃO DETENTOR DA ATA:</w:t>
      </w:r>
    </w:p>
    <w:p w14:paraId="4166F289">
      <w:pPr>
        <w:autoSpaceDE w:val="0"/>
        <w:jc w:val="both"/>
        <w:rPr>
          <w:b/>
          <w:color w:val="231F20"/>
        </w:rPr>
      </w:pPr>
    </w:p>
    <w:p w14:paraId="257336C8">
      <w:pPr>
        <w:autoSpaceDE w:val="0"/>
        <w:jc w:val="both"/>
      </w:pPr>
      <w:r>
        <w:rPr>
          <w:b/>
          <w:color w:val="231F20"/>
        </w:rPr>
        <w:t>13.1.</w:t>
      </w:r>
      <w:r>
        <w:rPr>
          <w:color w:val="231F20"/>
        </w:rPr>
        <w:t xml:space="preserve"> As obrigações do Órgão e do Detentor da Ata constam no Termo de Referência.</w:t>
      </w:r>
    </w:p>
    <w:p w14:paraId="5009554C">
      <w:pPr>
        <w:autoSpaceDE w:val="0"/>
        <w:jc w:val="both"/>
        <w:rPr>
          <w:b/>
          <w:color w:val="231F20"/>
        </w:rPr>
      </w:pPr>
    </w:p>
    <w:p w14:paraId="111A18C2">
      <w:pPr>
        <w:autoSpaceDE w:val="0"/>
        <w:jc w:val="both"/>
      </w:pPr>
      <w:r>
        <w:rPr>
          <w:b/>
        </w:rPr>
        <w:t>CLÁUSULA DÉCIMA QUARTA – DO CANCELAMENTO DO REGISTRO DE PREÇOS:</w:t>
      </w:r>
    </w:p>
    <w:p w14:paraId="31347D47">
      <w:pPr>
        <w:autoSpaceDE w:val="0"/>
        <w:jc w:val="both"/>
        <w:rPr>
          <w:b/>
          <w:color w:val="231F20"/>
        </w:rPr>
      </w:pPr>
    </w:p>
    <w:p w14:paraId="45B6EC7A">
      <w:pPr>
        <w:autoSpaceDE w:val="0"/>
        <w:jc w:val="both"/>
      </w:pPr>
      <w:r>
        <w:rPr>
          <w:b/>
          <w:color w:val="231F20"/>
        </w:rPr>
        <w:t>14.1.</w:t>
      </w:r>
      <w:r>
        <w:rPr>
          <w:color w:val="231F20"/>
        </w:rPr>
        <w:t xml:space="preserve"> O Órgão ou Entidade Gerenciadora poderá cancelar o registro de preços do Detentor, total ou parcialmente, observados o contraditório e a ampla defesa, nos seguintes casos:</w:t>
      </w:r>
    </w:p>
    <w:p w14:paraId="159ADC70">
      <w:pPr>
        <w:autoSpaceDE w:val="0"/>
        <w:jc w:val="both"/>
        <w:rPr>
          <w:color w:val="231F20"/>
        </w:rPr>
      </w:pPr>
    </w:p>
    <w:p w14:paraId="71077F8A">
      <w:pPr>
        <w:autoSpaceDE w:val="0"/>
        <w:jc w:val="both"/>
        <w:rPr>
          <w:color w:val="231F20"/>
        </w:rPr>
      </w:pPr>
      <w:r>
        <w:rPr>
          <w:color w:val="231F20"/>
        </w:rPr>
        <w:t>I – Descumprimento parcial ou total, por parte do detentor, das condições da ARP;</w:t>
      </w:r>
    </w:p>
    <w:p w14:paraId="322FC642">
      <w:pPr>
        <w:autoSpaceDE w:val="0"/>
        <w:jc w:val="both"/>
      </w:pPr>
    </w:p>
    <w:p w14:paraId="7BB365E2">
      <w:pPr>
        <w:autoSpaceDE w:val="0"/>
        <w:jc w:val="both"/>
      </w:pPr>
      <w:r>
        <w:rPr>
          <w:b/>
          <w:color w:val="231F20"/>
        </w:rPr>
        <w:t xml:space="preserve">II </w:t>
      </w:r>
      <w:r>
        <w:rPr>
          <w:color w:val="231F20"/>
        </w:rPr>
        <w:t>– Quando o detentor não atender à convocação para firmar as obrigações contratuais decorrentes do registro de preços, não retirar ou não aceitar o instrumento equivalente no prazo estabelecido pelo órgão ou entidade gerenciadora;</w:t>
      </w:r>
    </w:p>
    <w:p w14:paraId="2C58936D">
      <w:pPr>
        <w:autoSpaceDE w:val="0"/>
        <w:jc w:val="both"/>
        <w:rPr>
          <w:color w:val="231F20"/>
        </w:rPr>
      </w:pPr>
    </w:p>
    <w:p w14:paraId="5D1C8E0B">
      <w:pPr>
        <w:autoSpaceDE w:val="0"/>
        <w:jc w:val="both"/>
      </w:pPr>
      <w:r>
        <w:rPr>
          <w:b/>
          <w:color w:val="231F20"/>
        </w:rPr>
        <w:t xml:space="preserve">III </w:t>
      </w:r>
      <w:r>
        <w:rPr>
          <w:color w:val="231F20"/>
        </w:rPr>
        <w:t>– Nas hipóteses de inexecução parcial ou total do contrato decorrente da ARP;</w:t>
      </w:r>
    </w:p>
    <w:p w14:paraId="2B8226D8">
      <w:pPr>
        <w:autoSpaceDE w:val="0"/>
        <w:jc w:val="both"/>
        <w:rPr>
          <w:color w:val="231F20"/>
        </w:rPr>
      </w:pPr>
    </w:p>
    <w:p w14:paraId="3B19070F">
      <w:pPr>
        <w:autoSpaceDE w:val="0"/>
        <w:jc w:val="both"/>
      </w:pPr>
      <w:r>
        <w:rPr>
          <w:b/>
          <w:color w:val="231F20"/>
        </w:rPr>
        <w:t xml:space="preserve">IV </w:t>
      </w:r>
      <w:r>
        <w:rPr>
          <w:color w:val="231F20"/>
        </w:rPr>
        <w:t>– Nas hipóteses dos preços registrados não estiverem compatíveis com os praticados no mercado e o detentor se recusar a adequá-los na forma solicitada pelo órgão ou pela entidade gerenciadora, prevista no edital e na ARP, observado o disposto nos arts. 309 e 310 do Decreto Municipal nº 11.685/2023;</w:t>
      </w:r>
    </w:p>
    <w:p w14:paraId="4A309514">
      <w:pPr>
        <w:autoSpaceDE w:val="0"/>
        <w:jc w:val="both"/>
        <w:rPr>
          <w:color w:val="231F20"/>
        </w:rPr>
      </w:pPr>
    </w:p>
    <w:p w14:paraId="44D3F6CF">
      <w:pPr>
        <w:autoSpaceDE w:val="0"/>
        <w:jc w:val="both"/>
        <w:rPr>
          <w:color w:val="231F20"/>
        </w:rPr>
      </w:pPr>
      <w:r>
        <w:rPr>
          <w:b/>
          <w:color w:val="231F20"/>
        </w:rPr>
        <w:t xml:space="preserve">V </w:t>
      </w:r>
      <w:r>
        <w:rPr>
          <w:color w:val="231F20"/>
        </w:rPr>
        <w:t>– Por razões de interesse público, reduzida a termo no processo;</w:t>
      </w:r>
    </w:p>
    <w:p w14:paraId="38640BA7">
      <w:pPr>
        <w:autoSpaceDE w:val="0"/>
        <w:jc w:val="both"/>
      </w:pPr>
    </w:p>
    <w:p w14:paraId="12B0352D">
      <w:pPr>
        <w:autoSpaceDE w:val="0"/>
        <w:jc w:val="both"/>
      </w:pPr>
      <w:r>
        <w:rPr>
          <w:b/>
          <w:color w:val="231F20"/>
        </w:rPr>
        <w:t>VI</w:t>
      </w:r>
      <w:r>
        <w:rPr>
          <w:color w:val="231F20"/>
        </w:rPr>
        <w:t xml:space="preserve"> – Por fato superveniente, decorrente de caso de força maior, caso fortuito ou fato do príncipe ou em decorrência de fatos imprevisíveis ou previsíveis de consequências incalculáveis, que inviabilizem a execução das obrigações previstas na ata, devidamente demonstrado;</w:t>
      </w:r>
    </w:p>
    <w:p w14:paraId="0CF4A7E3">
      <w:pPr>
        <w:autoSpaceDE w:val="0"/>
        <w:jc w:val="both"/>
        <w:rPr>
          <w:color w:val="231F20"/>
        </w:rPr>
      </w:pPr>
    </w:p>
    <w:p w14:paraId="20D96D35">
      <w:pPr>
        <w:autoSpaceDE w:val="0"/>
        <w:jc w:val="both"/>
      </w:pPr>
      <w:r>
        <w:rPr>
          <w:b/>
          <w:color w:val="231F20"/>
        </w:rPr>
        <w:t>VII</w:t>
      </w:r>
      <w:r>
        <w:rPr>
          <w:color w:val="231F20"/>
        </w:rPr>
        <w:t xml:space="preserve"> – Quando o detentor for suspenso ou impedido de licitar e contratar com a administração municipal;</w:t>
      </w:r>
    </w:p>
    <w:p w14:paraId="503F5781">
      <w:pPr>
        <w:autoSpaceDE w:val="0"/>
        <w:jc w:val="both"/>
        <w:rPr>
          <w:color w:val="231F20"/>
        </w:rPr>
      </w:pPr>
    </w:p>
    <w:p w14:paraId="290CD41E">
      <w:pPr>
        <w:autoSpaceDE w:val="0"/>
        <w:jc w:val="both"/>
      </w:pPr>
      <w:r>
        <w:rPr>
          <w:b/>
          <w:color w:val="231F20"/>
        </w:rPr>
        <w:t>VIII</w:t>
      </w:r>
      <w:r>
        <w:rPr>
          <w:color w:val="231F20"/>
        </w:rPr>
        <w:t xml:space="preserve"> – Quando o detentor for declarado inidôneo para licitar ou contratar com a administração pública;</w:t>
      </w:r>
    </w:p>
    <w:p w14:paraId="6C325E15">
      <w:pPr>
        <w:autoSpaceDE w:val="0"/>
        <w:jc w:val="both"/>
        <w:rPr>
          <w:color w:val="231F20"/>
        </w:rPr>
      </w:pPr>
    </w:p>
    <w:p w14:paraId="63504E01">
      <w:pPr>
        <w:autoSpaceDE w:val="0"/>
        <w:jc w:val="both"/>
      </w:pPr>
      <w:r>
        <w:rPr>
          <w:b/>
          <w:color w:val="231F20"/>
        </w:rPr>
        <w:t>IX</w:t>
      </w:r>
      <w:r>
        <w:rPr>
          <w:color w:val="231F20"/>
        </w:rPr>
        <w:t xml:space="preserve"> – Amigavelmente, por acordo entre as partes, reduzida a termo no processo, desde que haja conveniência para a administração;</w:t>
      </w:r>
    </w:p>
    <w:p w14:paraId="1ACD584E">
      <w:pPr>
        <w:autoSpaceDE w:val="0"/>
        <w:jc w:val="both"/>
        <w:rPr>
          <w:color w:val="231F20"/>
        </w:rPr>
      </w:pPr>
    </w:p>
    <w:p w14:paraId="52C156F1">
      <w:pPr>
        <w:autoSpaceDE w:val="0"/>
        <w:jc w:val="both"/>
      </w:pPr>
      <w:r>
        <w:rPr>
          <w:b/>
          <w:color w:val="231F20"/>
        </w:rPr>
        <w:t>X</w:t>
      </w:r>
      <w:r>
        <w:rPr>
          <w:color w:val="231F20"/>
        </w:rPr>
        <w:t xml:space="preserve"> – Por ordem judicial.</w:t>
      </w:r>
    </w:p>
    <w:p w14:paraId="5E3134A4">
      <w:pPr>
        <w:autoSpaceDE w:val="0"/>
        <w:jc w:val="both"/>
        <w:rPr>
          <w:color w:val="231F20"/>
        </w:rPr>
      </w:pPr>
    </w:p>
    <w:p w14:paraId="20BD504C">
      <w:pPr>
        <w:autoSpaceDE w:val="0"/>
        <w:jc w:val="both"/>
      </w:pPr>
      <w:r>
        <w:rPr>
          <w:b/>
          <w:color w:val="231F20"/>
        </w:rPr>
        <w:t xml:space="preserve">XI </w:t>
      </w:r>
      <w:r>
        <w:rPr>
          <w:color w:val="231F20"/>
        </w:rPr>
        <w:t>- No caso de alteração social ou modificação da finalidade ou da estrutura da empresa que restrinja sua capacidade de concluir o contrato.</w:t>
      </w:r>
    </w:p>
    <w:p w14:paraId="19BE297C">
      <w:pPr>
        <w:autoSpaceDE w:val="0"/>
        <w:jc w:val="both"/>
        <w:rPr>
          <w:color w:val="231F20"/>
        </w:rPr>
      </w:pPr>
    </w:p>
    <w:p w14:paraId="2F4A4487">
      <w:pPr>
        <w:autoSpaceDE w:val="0"/>
        <w:jc w:val="both"/>
      </w:pPr>
      <w:r>
        <w:rPr>
          <w:b/>
          <w:color w:val="231F20"/>
        </w:rPr>
        <w:t>XII</w:t>
      </w:r>
      <w:r>
        <w:rPr>
          <w:color w:val="231F20"/>
        </w:rPr>
        <w:t xml:space="preserve"> - Nos casos em que o Detentor estiver envolvido em casos de corrupção, nos termos da Lei Federal nº 12.846, de 1º de agosto de 2013. </w:t>
      </w:r>
    </w:p>
    <w:p w14:paraId="4F33B7A6">
      <w:pPr>
        <w:autoSpaceDE w:val="0"/>
        <w:jc w:val="both"/>
        <w:rPr>
          <w:color w:val="231F20"/>
        </w:rPr>
      </w:pPr>
    </w:p>
    <w:p w14:paraId="0E193586">
      <w:pPr>
        <w:autoSpaceDE w:val="0"/>
        <w:jc w:val="both"/>
      </w:pPr>
      <w:r>
        <w:rPr>
          <w:b/>
          <w:color w:val="231F20"/>
        </w:rPr>
        <w:t>XIII</w:t>
      </w:r>
      <w:r>
        <w:rPr>
          <w:color w:val="231F20"/>
        </w:rPr>
        <w:t xml:space="preserve"> – No caso de não cumprimento da regra referente à subcontratação prevista no Termo de Referência.</w:t>
      </w:r>
    </w:p>
    <w:p w14:paraId="7826FD77">
      <w:pPr>
        <w:autoSpaceDE w:val="0"/>
        <w:jc w:val="both"/>
        <w:rPr>
          <w:color w:val="231F20"/>
        </w:rPr>
      </w:pPr>
    </w:p>
    <w:p w14:paraId="0AD6A962">
      <w:pPr>
        <w:autoSpaceDE w:val="0"/>
        <w:jc w:val="both"/>
      </w:pPr>
      <w:r>
        <w:rPr>
          <w:b/>
          <w:color w:val="231F20"/>
        </w:rPr>
        <w:t>14.2.</w:t>
      </w:r>
      <w:r>
        <w:rPr>
          <w:color w:val="231F20"/>
        </w:rPr>
        <w:tab/>
      </w:r>
      <w:r>
        <w:rPr>
          <w:color w:val="231F20"/>
        </w:rPr>
        <w:t>A notificação do Órgão ou Entidade Gerenciadora para o cancelamento do preço registrado será enviada diretamente ao Detentor da ARP por ofício, correspondência eletrônica ou por outro meio eficaz, e no caso da ausência do recebimento, a notificação será publicada no DIORONDON.</w:t>
      </w:r>
    </w:p>
    <w:p w14:paraId="682CBE7C">
      <w:pPr>
        <w:autoSpaceDE w:val="0"/>
        <w:jc w:val="both"/>
        <w:rPr>
          <w:color w:val="231F20"/>
        </w:rPr>
      </w:pPr>
    </w:p>
    <w:p w14:paraId="1794897E">
      <w:pPr>
        <w:autoSpaceDE w:val="0"/>
        <w:jc w:val="both"/>
      </w:pPr>
      <w:r>
        <w:rPr>
          <w:b/>
          <w:color w:val="231F20"/>
        </w:rPr>
        <w:t>14.3.</w:t>
      </w:r>
      <w:r>
        <w:rPr>
          <w:color w:val="231F20"/>
        </w:rPr>
        <w:t xml:space="preserve"> A solicitação do Detentor para cancelamento do registro de preço deverá ser formulada por escrito, assegurando-se o fornecimento do bem registrado por prazo mínimo de quarenta e cinco dias, contado a partir da comprovação do recebimento da solicitação do cancelamento, salvo na hipótese da impossibilidade de seu cumprimento, devidamente justificada e aprovada pelo Órgão ou Entidade Gerenciadora.</w:t>
      </w:r>
    </w:p>
    <w:p w14:paraId="386B7693">
      <w:pPr>
        <w:autoSpaceDE w:val="0"/>
        <w:jc w:val="both"/>
        <w:rPr>
          <w:color w:val="231F20"/>
        </w:rPr>
      </w:pPr>
    </w:p>
    <w:p w14:paraId="0DB0AA0A">
      <w:pPr>
        <w:autoSpaceDE w:val="0"/>
        <w:jc w:val="both"/>
      </w:pPr>
      <w:r>
        <w:rPr>
          <w:b/>
          <w:color w:val="231F20"/>
        </w:rPr>
        <w:t>14.4.</w:t>
      </w:r>
      <w:r>
        <w:rPr>
          <w:color w:val="231F20"/>
        </w:rPr>
        <w:tab/>
      </w:r>
      <w:r>
        <w:rPr>
          <w:color w:val="231F20"/>
        </w:rPr>
        <w:t>O Detentor poderá solicitar o cancelamento do seu preço registrado na ocorrência de fato superveniente decorrente de caso fortuito ou de força maior, devidamente comprovados, bem como nas hipóteses compreendidas na legislação aplicável a que venham comprometer o fornecimento do bem.</w:t>
      </w:r>
    </w:p>
    <w:p w14:paraId="4D7803CB">
      <w:pPr>
        <w:autoSpaceDE w:val="0"/>
        <w:jc w:val="both"/>
        <w:rPr>
          <w:color w:val="231F20"/>
        </w:rPr>
      </w:pPr>
    </w:p>
    <w:p w14:paraId="10366B80">
      <w:pPr>
        <w:autoSpaceDE w:val="0"/>
        <w:jc w:val="both"/>
      </w:pPr>
      <w:r>
        <w:rPr>
          <w:b/>
          <w:color w:val="231F20"/>
        </w:rPr>
        <w:t>14.5.</w:t>
      </w:r>
      <w:r>
        <w:rPr>
          <w:color w:val="231F20"/>
        </w:rPr>
        <w:tab/>
      </w:r>
      <w:r>
        <w:rPr>
          <w:color w:val="231F20"/>
        </w:rPr>
        <w:t>O cancelamento da ARP não afasta a possibilidade de aplicação de sanções, observadas as competências previstas no Decreto Municipal nº 11.685/2023.</w:t>
      </w:r>
    </w:p>
    <w:p w14:paraId="12C6BE6E">
      <w:pPr>
        <w:autoSpaceDE w:val="0"/>
        <w:jc w:val="both"/>
        <w:rPr>
          <w:color w:val="231F20"/>
        </w:rPr>
      </w:pPr>
    </w:p>
    <w:p w14:paraId="6D844CE3">
      <w:pPr>
        <w:autoSpaceDE w:val="0"/>
        <w:jc w:val="both"/>
      </w:pPr>
      <w:r>
        <w:rPr>
          <w:b/>
          <w:color w:val="231F20"/>
        </w:rPr>
        <w:t>14.6.</w:t>
      </w:r>
      <w:r>
        <w:rPr>
          <w:color w:val="231F20"/>
        </w:rPr>
        <w:t xml:space="preserve"> O cancelamento do Registro, nas hipóteses previstas, será formalizado por despacho da Autoridade Superior do Órgão ou Entidade Gerenciadora e publicado no DIORONDON</w:t>
      </w:r>
    </w:p>
    <w:p w14:paraId="078692E2">
      <w:pPr>
        <w:autoSpaceDE w:val="0"/>
        <w:jc w:val="both"/>
        <w:rPr>
          <w:color w:val="231F20"/>
        </w:rPr>
      </w:pPr>
    </w:p>
    <w:p w14:paraId="50BDA9AA">
      <w:pPr>
        <w:autoSpaceDE w:val="0"/>
        <w:jc w:val="both"/>
      </w:pPr>
      <w:r>
        <w:rPr>
          <w:b/>
        </w:rPr>
        <w:t>CLÁUSULA DÉCIMA QUINTA – DA ADESÃO EM ATA DE REGISTRO DE PREÇOS:</w:t>
      </w:r>
    </w:p>
    <w:p w14:paraId="1722B621">
      <w:pPr>
        <w:autoSpaceDE w:val="0"/>
        <w:jc w:val="both"/>
        <w:rPr>
          <w:b/>
        </w:rPr>
      </w:pPr>
    </w:p>
    <w:p w14:paraId="29B1BB86">
      <w:pPr>
        <w:autoSpaceDE w:val="0"/>
        <w:jc w:val="both"/>
      </w:pPr>
      <w:r>
        <w:rPr>
          <w:b/>
          <w:color w:val="000000"/>
        </w:rPr>
        <w:t>15.1.</w:t>
      </w:r>
      <w:r>
        <w:rPr>
          <w:color w:val="000000"/>
        </w:rPr>
        <w:t xml:space="preserve"> Por falta de justificativa ou motivação por parte das unidades demandantes a clausula foi excluída, conforme orientação do TCU: “A inserção de cláusula em edital licitatório prevendo a possibilidade de adesão a ata de registro de preços por órgãos ou entidades não participantes do planejamento da contratação ("carona") exige justificativa específica, lastreada em estudo técnico referente ao objeto licitado e devidamente registrada no documento de planejamento da contratação.” (Acórdão 311/2018-Plenário | Relator: BRUNO DANTAS).</w:t>
      </w:r>
    </w:p>
    <w:p w14:paraId="2273CB9D">
      <w:pPr>
        <w:autoSpaceDE w:val="0"/>
        <w:jc w:val="both"/>
        <w:rPr>
          <w:b/>
          <w:color w:val="000000"/>
        </w:rPr>
      </w:pPr>
    </w:p>
    <w:p w14:paraId="4F5707E6">
      <w:pPr>
        <w:autoSpaceDE w:val="0"/>
        <w:jc w:val="both"/>
      </w:pPr>
      <w:r>
        <w:rPr>
          <w:b/>
        </w:rPr>
        <w:t>CLÁUSULA DÉCIMA SEXTA – DA PROTEÇÃO E TRANSMISSÃO DE INFORMAÇÃO, DADOS PESSOAIS E/OU BASE DE DADOS:</w:t>
      </w:r>
    </w:p>
    <w:p w14:paraId="58D6CF6E">
      <w:pPr>
        <w:autoSpaceDE w:val="0"/>
        <w:jc w:val="both"/>
        <w:rPr>
          <w:b/>
          <w:color w:val="231F20"/>
        </w:rPr>
      </w:pPr>
    </w:p>
    <w:p w14:paraId="43E096BD">
      <w:pPr>
        <w:autoSpaceDE w:val="0"/>
        <w:jc w:val="both"/>
      </w:pPr>
      <w:r>
        <w:rPr>
          <w:b/>
          <w:color w:val="231F20"/>
        </w:rPr>
        <w:t>16.1.</w:t>
      </w:r>
      <w:r>
        <w:rPr>
          <w:color w:val="231F20"/>
        </w:rPr>
        <w:t xml:space="preserve"> O Detentor obriga-se ao dever de proteção, confidencialidade e sigilo de toda informação, dados pessoais e/ou base de dados a que tenha acesso, inclusive em razão de licenciamento ou da operação dos programas/sistemas, nos termos da Lei nº 13.709/2018, suas alterações e regulamentações posteriores, durante o cumprimento do objeto descrito no presente instrumento contratual.</w:t>
      </w:r>
    </w:p>
    <w:p w14:paraId="1A039A18">
      <w:pPr>
        <w:autoSpaceDE w:val="0"/>
        <w:jc w:val="both"/>
      </w:pPr>
      <w:r>
        <w:rPr>
          <w:color w:val="231F20"/>
        </w:rPr>
        <w:t> </w:t>
      </w:r>
    </w:p>
    <w:p w14:paraId="173B3E7F">
      <w:pPr>
        <w:autoSpaceDE w:val="0"/>
        <w:jc w:val="both"/>
        <w:rPr>
          <w:color w:val="231F20"/>
        </w:rPr>
      </w:pPr>
      <w:r>
        <w:rPr>
          <w:b/>
          <w:color w:val="231F20"/>
        </w:rPr>
        <w:t>16.1.1.</w:t>
      </w:r>
      <w:r>
        <w:rPr>
          <w:color w:val="231F20"/>
        </w:rPr>
        <w:t xml:space="preserve"> O Detentor obriga-se a implementar medidas técnicas e administrativas suficientes visando a segurança, a proteção, a confidencialidade e o sigilo de toda informação, dados pessoais e/ou base de dados a que tenha acesso a fim de evitar acessos não autorizados, acidentes, vazamentos acidentais ou ilícitos que causem destruição, perda, alteração, comunicação ou qualquer outra forma de tratamento não previstos.</w:t>
      </w:r>
    </w:p>
    <w:p w14:paraId="62FCECD2">
      <w:pPr>
        <w:autoSpaceDE w:val="0"/>
        <w:jc w:val="both"/>
      </w:pPr>
    </w:p>
    <w:p w14:paraId="56D95551">
      <w:pPr>
        <w:autoSpaceDE w:val="0"/>
        <w:jc w:val="both"/>
      </w:pPr>
      <w:r>
        <w:rPr>
          <w:b/>
          <w:color w:val="231F20"/>
        </w:rPr>
        <w:t>16.1.2.</w:t>
      </w:r>
      <w:r>
        <w:rPr>
          <w:color w:val="231F20"/>
        </w:rPr>
        <w:t xml:space="preserve"> O Detentor deve assegurar-se de que todos os seus colaboradores, consultores e/ou prestadores de serviços que, no exercício das suas atividades, tenham acesso e/ou conhecimento da informação e/ou dos dados pessoais, respeitem o dever de proteção, confidencialidade e sigilo.</w:t>
      </w:r>
    </w:p>
    <w:p w14:paraId="6AAAF3B1">
      <w:pPr>
        <w:autoSpaceDE w:val="0"/>
        <w:jc w:val="both"/>
      </w:pPr>
      <w:r>
        <w:rPr>
          <w:color w:val="231F20"/>
        </w:rPr>
        <w:t> </w:t>
      </w:r>
    </w:p>
    <w:p w14:paraId="3B53C363">
      <w:pPr>
        <w:autoSpaceDE w:val="0"/>
        <w:jc w:val="both"/>
      </w:pPr>
      <w:r>
        <w:rPr>
          <w:b/>
          <w:color w:val="231F20"/>
        </w:rPr>
        <w:t>16.1.3.</w:t>
      </w:r>
      <w:r>
        <w:rPr>
          <w:color w:val="231F20"/>
        </w:rPr>
        <w:t xml:space="preserve"> O Detentor não poderá utilizar-se de informação, dados pessoais e/ou base de dados a que tenha acesso, para fins distintos ao cumprimento do objeto deste instrumento contratual.</w:t>
      </w:r>
    </w:p>
    <w:p w14:paraId="177B90FF">
      <w:pPr>
        <w:autoSpaceDE w:val="0"/>
        <w:jc w:val="both"/>
      </w:pPr>
      <w:r>
        <w:rPr>
          <w:color w:val="231F20"/>
        </w:rPr>
        <w:t> </w:t>
      </w:r>
    </w:p>
    <w:p w14:paraId="7A764CEB">
      <w:pPr>
        <w:autoSpaceDE w:val="0"/>
        <w:jc w:val="both"/>
      </w:pPr>
      <w:r>
        <w:rPr>
          <w:b/>
          <w:color w:val="231F20"/>
        </w:rPr>
        <w:t>16.1.4.</w:t>
      </w:r>
      <w:r>
        <w:rPr>
          <w:color w:val="231F20"/>
        </w:rPr>
        <w:tab/>
      </w:r>
      <w:r>
        <w:rPr>
          <w:color w:val="231F20"/>
        </w:rPr>
        <w:t>O Detentor não poderá disponibilizar e/ou transmitir a terceiros, sem prévia autorização escrita, informação, dados pessoais e/ou base de dados a que tenha acesso em razão do cumprimento do objeto deste instrumento contratual. </w:t>
      </w:r>
    </w:p>
    <w:p w14:paraId="2771BBBF">
      <w:pPr>
        <w:autoSpaceDE w:val="0"/>
        <w:jc w:val="both"/>
        <w:rPr>
          <w:color w:val="231F20"/>
        </w:rPr>
      </w:pPr>
    </w:p>
    <w:p w14:paraId="513C6946">
      <w:pPr>
        <w:autoSpaceDE w:val="0"/>
        <w:jc w:val="both"/>
      </w:pPr>
      <w:r>
        <w:rPr>
          <w:b/>
          <w:color w:val="231F20"/>
        </w:rPr>
        <w:t>16.1.4.1.</w:t>
      </w:r>
      <w:r>
        <w:rPr>
          <w:color w:val="231F20"/>
        </w:rPr>
        <w:t xml:space="preserve"> O Detentor obriga-se a fornecer informação, dados pessoais e/ou base de dados estritamente necessários caso quando da transmissão autorizada a terceiros durante o cumprimento do objeto descrito neste instrumento contratual.</w:t>
      </w:r>
    </w:p>
    <w:p w14:paraId="159F88EF">
      <w:pPr>
        <w:autoSpaceDE w:val="0"/>
        <w:jc w:val="both"/>
      </w:pPr>
      <w:r>
        <w:rPr>
          <w:color w:val="231F20"/>
        </w:rPr>
        <w:t> </w:t>
      </w:r>
    </w:p>
    <w:p w14:paraId="2454FEE2">
      <w:pPr>
        <w:autoSpaceDE w:val="0"/>
        <w:jc w:val="both"/>
      </w:pPr>
      <w:r>
        <w:rPr>
          <w:b/>
          <w:color w:val="231F20"/>
        </w:rPr>
        <w:t>16.1.5.</w:t>
      </w:r>
      <w:r>
        <w:rPr>
          <w:color w:val="231F20"/>
        </w:rPr>
        <w:t xml:space="preserve"> O Detentor fica obrigado a devolver todos os documentos, registros e cópias que contenham informação, dados pessoais e/ou base de dados a que tenha tido acesso durante a execução do cumprimento do objeto deste instrumento contratual no prazo de 30 (trinta) dias corridos contados da rescisão contratual, restando autorizada a conservação apenas nas hipóteses legalmente previstas.</w:t>
      </w:r>
    </w:p>
    <w:p w14:paraId="6BC2F792">
      <w:pPr>
        <w:autoSpaceDE w:val="0"/>
        <w:jc w:val="both"/>
      </w:pPr>
      <w:r>
        <w:rPr>
          <w:color w:val="231F20"/>
        </w:rPr>
        <w:t> </w:t>
      </w:r>
    </w:p>
    <w:p w14:paraId="31A08337">
      <w:pPr>
        <w:autoSpaceDE w:val="0"/>
        <w:jc w:val="both"/>
      </w:pPr>
      <w:r>
        <w:rPr>
          <w:b/>
          <w:color w:val="231F20"/>
        </w:rPr>
        <w:t>16.1.5.1.</w:t>
      </w:r>
      <w:r>
        <w:rPr>
          <w:color w:val="231F20"/>
        </w:rPr>
        <w:t xml:space="preserve"> Ao Detentor não será permitido deter cópias ou backups, informação, dados pessoais e/ou base de dados a que tenha tido acesso durante a execução do cumprimento do objeto deste instrumento contratual.</w:t>
      </w:r>
    </w:p>
    <w:p w14:paraId="75D6B376">
      <w:pPr>
        <w:autoSpaceDE w:val="0"/>
        <w:jc w:val="both"/>
        <w:rPr>
          <w:color w:val="231F20"/>
        </w:rPr>
      </w:pPr>
    </w:p>
    <w:p w14:paraId="48AFB7F1">
      <w:pPr>
        <w:autoSpaceDE w:val="0"/>
        <w:jc w:val="both"/>
      </w:pPr>
      <w:r>
        <w:rPr>
          <w:b/>
          <w:color w:val="231F20"/>
        </w:rPr>
        <w:t>16.1.5.1.1.</w:t>
      </w:r>
      <w:r>
        <w:rPr>
          <w:color w:val="231F20"/>
        </w:rPr>
        <w:t xml:space="preserve"> O Detentor deverá eliminar os dados pessoais a que tiver conhecimento ou posse em razão do cumprimento do objeto deste instrumento contratual tão logo não haja necessidade de realizar seu tratamento.</w:t>
      </w:r>
    </w:p>
    <w:p w14:paraId="18307EFB">
      <w:pPr>
        <w:autoSpaceDE w:val="0"/>
        <w:jc w:val="both"/>
      </w:pPr>
      <w:r>
        <w:rPr>
          <w:color w:val="231F20"/>
        </w:rPr>
        <w:t> </w:t>
      </w:r>
    </w:p>
    <w:p w14:paraId="17842247">
      <w:pPr>
        <w:autoSpaceDE w:val="0"/>
        <w:jc w:val="both"/>
      </w:pPr>
      <w:r>
        <w:rPr>
          <w:b/>
          <w:color w:val="231F20"/>
        </w:rPr>
        <w:t>16.1.6.</w:t>
      </w:r>
      <w:r>
        <w:rPr>
          <w:color w:val="231F20"/>
        </w:rPr>
        <w:tab/>
      </w:r>
      <w:r>
        <w:rPr>
          <w:color w:val="231F20"/>
        </w:rPr>
        <w:t>O Detentor deverá notificar, imediatamente, o Órgão ou Entidade Gerenciadora/Órgãos Participantes no caso de vazamento, perda parcial ou total de informação, dados pessoais e/ou base de dados.</w:t>
      </w:r>
    </w:p>
    <w:p w14:paraId="4323AF05">
      <w:pPr>
        <w:autoSpaceDE w:val="0"/>
        <w:jc w:val="both"/>
      </w:pPr>
      <w:r>
        <w:rPr>
          <w:color w:val="231F20"/>
        </w:rPr>
        <w:t> </w:t>
      </w:r>
    </w:p>
    <w:p w14:paraId="4AFE399E">
      <w:pPr>
        <w:autoSpaceDE w:val="0"/>
        <w:jc w:val="both"/>
      </w:pPr>
      <w:r>
        <w:rPr>
          <w:b/>
          <w:color w:val="231F20"/>
        </w:rPr>
        <w:t xml:space="preserve">16.1.6.1 </w:t>
      </w:r>
      <w:r>
        <w:rPr>
          <w:color w:val="231F20"/>
        </w:rPr>
        <w:t>A notificação não eximirá o Detentor das obrigações e/ou sanções que possam incidir em razão da perda de informação, dados pessoais e/ou base de dados.</w:t>
      </w:r>
    </w:p>
    <w:p w14:paraId="15F54455">
      <w:pPr>
        <w:autoSpaceDE w:val="0"/>
        <w:jc w:val="both"/>
      </w:pPr>
      <w:r>
        <w:rPr>
          <w:color w:val="231F20"/>
        </w:rPr>
        <w:t> </w:t>
      </w:r>
    </w:p>
    <w:p w14:paraId="7D4B33DD">
      <w:pPr>
        <w:autoSpaceDE w:val="0"/>
        <w:jc w:val="both"/>
      </w:pPr>
      <w:r>
        <w:rPr>
          <w:b/>
          <w:color w:val="231F20"/>
        </w:rPr>
        <w:t>16.1.6.2.</w:t>
      </w:r>
      <w:r>
        <w:rPr>
          <w:color w:val="231F20"/>
        </w:rPr>
        <w:t xml:space="preserve"> O Detentor que descumprir nos termos da Lei nº 13.709/2018 suas alterações e regulamentações posteriores, durante ou após a execução do objeto descrito no presente instrumento contratual fica obrigado a assumir total responsabilidade e ao ressarcimento por todo e qualquer dano e/ou prejuízo sofrido, incluindo sanções aplicadas pela autoridade competente.</w:t>
      </w:r>
    </w:p>
    <w:p w14:paraId="49118DF6">
      <w:pPr>
        <w:autoSpaceDE w:val="0"/>
        <w:jc w:val="both"/>
      </w:pPr>
      <w:r>
        <w:rPr>
          <w:color w:val="231F20"/>
        </w:rPr>
        <w:t> </w:t>
      </w:r>
    </w:p>
    <w:p w14:paraId="417FE6C4">
      <w:pPr>
        <w:autoSpaceDE w:val="0"/>
        <w:jc w:val="both"/>
      </w:pPr>
      <w:r>
        <w:rPr>
          <w:b/>
          <w:color w:val="231F20"/>
        </w:rPr>
        <w:t>16.1.7.</w:t>
      </w:r>
      <w:r>
        <w:rPr>
          <w:color w:val="231F20"/>
        </w:rPr>
        <w:t xml:space="preserve"> O Detentor fica obrigado a manter preposto para comunicação com o Órgão ou Entidade Gerenciadora/ para os assuntos pertinentes à Lei nº 13.709/2018 suas alterações e regulamentações posteriores.</w:t>
      </w:r>
    </w:p>
    <w:p w14:paraId="62C4C338">
      <w:pPr>
        <w:autoSpaceDE w:val="0"/>
        <w:jc w:val="both"/>
      </w:pPr>
      <w:r>
        <w:rPr>
          <w:color w:val="231F20"/>
        </w:rPr>
        <w:t> </w:t>
      </w:r>
    </w:p>
    <w:p w14:paraId="31822944">
      <w:pPr>
        <w:autoSpaceDE w:val="0"/>
        <w:jc w:val="both"/>
        <w:rPr>
          <w:color w:val="231F20"/>
        </w:rPr>
      </w:pPr>
      <w:r>
        <w:rPr>
          <w:b/>
          <w:color w:val="231F20"/>
        </w:rPr>
        <w:t>16.1.8.</w:t>
      </w:r>
      <w:r>
        <w:rPr>
          <w:color w:val="231F20"/>
        </w:rPr>
        <w:t xml:space="preserve"> O dever de sigilo e confidencialidade, e as demais obrigações descritas na presente cláusula, permanecerão em vigor após a extinção das relações entre o Detentor e o Órgão ou Entidade Gerenciadora/Órgãos Participantes, bem como, entre o Detentor e os seus colaboradores, subcontratados, consultores e/ou prestadores de serviços sob pena das sanções previstas na Lei nº 13.709/2018, suas alterações e regulamentações posteriores, salvo decisão judicial contrária.</w:t>
      </w:r>
    </w:p>
    <w:p w14:paraId="15DDF184">
      <w:pPr>
        <w:autoSpaceDE w:val="0"/>
        <w:jc w:val="both"/>
      </w:pPr>
    </w:p>
    <w:p w14:paraId="6962BC79">
      <w:pPr>
        <w:autoSpaceDE w:val="0"/>
        <w:jc w:val="both"/>
      </w:pPr>
      <w:r>
        <w:rPr>
          <w:b/>
          <w:color w:val="231F20"/>
        </w:rPr>
        <w:t>16.1.9</w:t>
      </w:r>
      <w:r>
        <w:rPr>
          <w:color w:val="231F20"/>
        </w:rPr>
        <w:t>. O não cumprimento de quaisquer das obrigações descritas nesta cláusula sujeitará o Detentor a processo administrativo para apuração de responsabilidade e, consequente, sanção, sem prejuízo de outras cominações cíveis e penais.</w:t>
      </w:r>
    </w:p>
    <w:p w14:paraId="0BE553DD">
      <w:pPr>
        <w:autoSpaceDE w:val="0"/>
        <w:jc w:val="both"/>
        <w:rPr>
          <w:b/>
          <w:color w:val="231F20"/>
        </w:rPr>
      </w:pPr>
    </w:p>
    <w:p w14:paraId="77CEF9F5">
      <w:pPr>
        <w:autoSpaceDE w:val="0"/>
        <w:jc w:val="both"/>
      </w:pPr>
      <w:r>
        <w:rPr>
          <w:b/>
        </w:rPr>
        <w:t>CLÁUSULA DÉCIMA SÉTIMA - DAS SANÇÕES ADMINISTRATIVAS:</w:t>
      </w:r>
    </w:p>
    <w:p w14:paraId="5A582071">
      <w:pPr>
        <w:autoSpaceDE w:val="0"/>
        <w:jc w:val="both"/>
        <w:rPr>
          <w:b/>
          <w:color w:val="231F20"/>
        </w:rPr>
      </w:pPr>
    </w:p>
    <w:p w14:paraId="01E17362">
      <w:pPr>
        <w:autoSpaceDE w:val="0"/>
        <w:jc w:val="both"/>
      </w:pPr>
      <w:r>
        <w:rPr>
          <w:b/>
          <w:color w:val="231F20"/>
        </w:rPr>
        <w:t>17.1.</w:t>
      </w:r>
      <w:r>
        <w:rPr>
          <w:color w:val="231F20"/>
        </w:rPr>
        <w:t xml:space="preserve"> O descumprimento das obrigações assumidas caracterizará a inadimplência do Detentor, sujeitando-o às seguintes penalidades, na forma do Decreto nº </w:t>
      </w:r>
      <w:bookmarkStart w:id="33" w:name="_Hlk139891007"/>
      <w:r>
        <w:rPr>
          <w:color w:val="231F20"/>
        </w:rPr>
        <w:t>11.685/2023:</w:t>
      </w:r>
      <w:bookmarkEnd w:id="33"/>
    </w:p>
    <w:p w14:paraId="41143265">
      <w:pPr>
        <w:autoSpaceDE w:val="0"/>
        <w:jc w:val="both"/>
        <w:rPr>
          <w:color w:val="231F20"/>
        </w:rPr>
      </w:pPr>
    </w:p>
    <w:p w14:paraId="3EDE2496">
      <w:pPr>
        <w:autoSpaceDE w:val="0"/>
        <w:jc w:val="both"/>
      </w:pPr>
      <w:r>
        <w:rPr>
          <w:b/>
          <w:color w:val="231F20"/>
        </w:rPr>
        <w:t>17.1.1.</w:t>
      </w:r>
      <w:r>
        <w:rPr>
          <w:color w:val="231F20"/>
        </w:rPr>
        <w:t xml:space="preserve"> Advertência;</w:t>
      </w:r>
    </w:p>
    <w:p w14:paraId="6B2E5B71">
      <w:pPr>
        <w:autoSpaceDE w:val="0"/>
        <w:jc w:val="both"/>
        <w:rPr>
          <w:color w:val="231F20"/>
        </w:rPr>
      </w:pPr>
    </w:p>
    <w:p w14:paraId="6C76ECCB">
      <w:pPr>
        <w:autoSpaceDE w:val="0"/>
        <w:jc w:val="both"/>
      </w:pPr>
      <w:r>
        <w:rPr>
          <w:b/>
          <w:color w:val="231F20"/>
        </w:rPr>
        <w:t>17.1.2.</w:t>
      </w:r>
      <w:r>
        <w:rPr>
          <w:color w:val="231F20"/>
        </w:rPr>
        <w:t xml:space="preserve"> Multas nos seguintes percentuais:</w:t>
      </w:r>
    </w:p>
    <w:p w14:paraId="29671392">
      <w:pPr>
        <w:autoSpaceDE w:val="0"/>
        <w:jc w:val="both"/>
        <w:rPr>
          <w:color w:val="231F20"/>
        </w:rPr>
      </w:pPr>
    </w:p>
    <w:p w14:paraId="72668A33">
      <w:pPr>
        <w:autoSpaceDE w:val="0"/>
        <w:jc w:val="both"/>
      </w:pPr>
      <w:r>
        <w:rPr>
          <w:b/>
          <w:color w:val="231F20"/>
        </w:rPr>
        <w:t>a)</w:t>
      </w:r>
      <w:r>
        <w:rPr>
          <w:color w:val="231F20"/>
        </w:rPr>
        <w:t xml:space="preserve"> multa moratória de 0,5% (cinco décimos por cento) por dia de atraso na entrega de material ou execução de serviços, recaindo o cálculo sobre o valor da parcela inadimplida, até o limite de 30% (trinta por cento) do contrato ou do instrumento equivalente.</w:t>
      </w:r>
    </w:p>
    <w:p w14:paraId="62D0AF46">
      <w:pPr>
        <w:autoSpaceDE w:val="0"/>
        <w:jc w:val="both"/>
        <w:rPr>
          <w:color w:val="231F20"/>
        </w:rPr>
      </w:pPr>
    </w:p>
    <w:p w14:paraId="7AE10E3B">
      <w:pPr>
        <w:autoSpaceDE w:val="0"/>
        <w:jc w:val="both"/>
      </w:pPr>
      <w:r>
        <w:rPr>
          <w:b/>
          <w:color w:val="231F20"/>
        </w:rPr>
        <w:t>b)</w:t>
      </w:r>
      <w:r>
        <w:rPr>
          <w:color w:val="231F20"/>
        </w:rPr>
        <w:t xml:space="preserve"> multa compensatória de até 3% (três por cento) sobre o valor de referência ao contratado que retardar o procedimento de contratação, descumprir preceito normativo ou obrigações assumidas.</w:t>
      </w:r>
    </w:p>
    <w:p w14:paraId="26EBECAA">
      <w:pPr>
        <w:autoSpaceDE w:val="0"/>
        <w:jc w:val="both"/>
        <w:rPr>
          <w:color w:val="231F20"/>
        </w:rPr>
      </w:pPr>
    </w:p>
    <w:p w14:paraId="43E2F9B8">
      <w:pPr>
        <w:autoSpaceDE w:val="0"/>
        <w:jc w:val="both"/>
      </w:pPr>
      <w:r>
        <w:rPr>
          <w:b/>
          <w:color w:val="231F20"/>
        </w:rPr>
        <w:t>c)</w:t>
      </w:r>
      <w:r>
        <w:rPr>
          <w:color w:val="231F20"/>
        </w:rPr>
        <w:t xml:space="preserve"> multa compensatória de até 5% (cinco por cento) sobre o valor da parcela inadimplida ao contratado que entregar o objeto contratual em desacordo com as especificações, condições e qualidade contratadas ou com irregularidades ou defeitos ocultos que o tornem impróprio para o fim a que se destina.</w:t>
      </w:r>
    </w:p>
    <w:p w14:paraId="7592D804">
      <w:pPr>
        <w:autoSpaceDE w:val="0"/>
        <w:jc w:val="both"/>
        <w:rPr>
          <w:color w:val="231F20"/>
        </w:rPr>
      </w:pPr>
    </w:p>
    <w:p w14:paraId="1D75F8EE">
      <w:pPr>
        <w:autoSpaceDE w:val="0"/>
        <w:jc w:val="both"/>
      </w:pPr>
      <w:r>
        <w:rPr>
          <w:b/>
          <w:color w:val="231F20"/>
        </w:rPr>
        <w:t>d)</w:t>
      </w:r>
      <w:r>
        <w:rPr>
          <w:color w:val="231F20"/>
        </w:rPr>
        <w:t xml:space="preserve"> multa compensatória de até 30% (trinta por cento) do valor do contrato em razão do cometimento das infrações administrativas previstas no Decreto Municipal nº 11.685/2023</w:t>
      </w:r>
    </w:p>
    <w:p w14:paraId="51DB9674">
      <w:pPr>
        <w:autoSpaceDE w:val="0"/>
        <w:jc w:val="both"/>
        <w:rPr>
          <w:color w:val="231F20"/>
        </w:rPr>
      </w:pPr>
    </w:p>
    <w:p w14:paraId="7027D1BB">
      <w:pPr>
        <w:autoSpaceDE w:val="0"/>
        <w:jc w:val="both"/>
      </w:pPr>
      <w:r>
        <w:rPr>
          <w:b/>
          <w:color w:val="231F20"/>
        </w:rPr>
        <w:t>17.1.3.</w:t>
      </w:r>
      <w:r>
        <w:rPr>
          <w:color w:val="231F20"/>
        </w:rPr>
        <w:t xml:space="preserve"> Impedimento de licitar e contratar;</w:t>
      </w:r>
    </w:p>
    <w:p w14:paraId="42A5DADC">
      <w:pPr>
        <w:autoSpaceDE w:val="0"/>
        <w:jc w:val="both"/>
        <w:rPr>
          <w:color w:val="231F20"/>
        </w:rPr>
      </w:pPr>
    </w:p>
    <w:p w14:paraId="6FCA015C">
      <w:pPr>
        <w:autoSpaceDE w:val="0"/>
        <w:jc w:val="both"/>
      </w:pPr>
      <w:r>
        <w:rPr>
          <w:b/>
          <w:color w:val="231F20"/>
        </w:rPr>
        <w:t>17.1.4.</w:t>
      </w:r>
      <w:r>
        <w:rPr>
          <w:color w:val="231F20"/>
        </w:rPr>
        <w:t xml:space="preserve"> Declaração de inidoneidade para licitar e contratar.</w:t>
      </w:r>
    </w:p>
    <w:p w14:paraId="33A325A7">
      <w:pPr>
        <w:autoSpaceDE w:val="0"/>
        <w:jc w:val="both"/>
        <w:rPr>
          <w:color w:val="231F20"/>
        </w:rPr>
      </w:pPr>
    </w:p>
    <w:p w14:paraId="14E83BA2">
      <w:pPr>
        <w:autoSpaceDE w:val="0"/>
        <w:jc w:val="both"/>
      </w:pPr>
      <w:r>
        <w:rPr>
          <w:b/>
          <w:color w:val="231F20"/>
        </w:rPr>
        <w:t>17.2.</w:t>
      </w:r>
      <w:r>
        <w:rPr>
          <w:color w:val="231F20"/>
        </w:rPr>
        <w:t xml:space="preserve"> A multa moratória pode ser aplicada cumulativamente com as demais multas previstas.</w:t>
      </w:r>
    </w:p>
    <w:p w14:paraId="2C445FAA">
      <w:pPr>
        <w:autoSpaceDE w:val="0"/>
        <w:jc w:val="both"/>
        <w:rPr>
          <w:color w:val="231F20"/>
        </w:rPr>
      </w:pPr>
    </w:p>
    <w:p w14:paraId="5616BDDF">
      <w:pPr>
        <w:autoSpaceDE w:val="0"/>
        <w:jc w:val="both"/>
      </w:pPr>
      <w:r>
        <w:rPr>
          <w:b/>
          <w:color w:val="231F20"/>
        </w:rPr>
        <w:t>17.3.</w:t>
      </w:r>
      <w:r>
        <w:rPr>
          <w:color w:val="231F20"/>
        </w:rPr>
        <w:t xml:space="preserve"> As penalidades de advertência e multa serão aplicadas pelo Diretor competente.</w:t>
      </w:r>
    </w:p>
    <w:p w14:paraId="417EE7EF">
      <w:pPr>
        <w:autoSpaceDE w:val="0"/>
        <w:jc w:val="both"/>
        <w:rPr>
          <w:color w:val="231F20"/>
        </w:rPr>
      </w:pPr>
    </w:p>
    <w:p w14:paraId="3C948016">
      <w:pPr>
        <w:autoSpaceDE w:val="0"/>
        <w:jc w:val="both"/>
      </w:pPr>
      <w:r>
        <w:rPr>
          <w:b/>
          <w:color w:val="231F20"/>
        </w:rPr>
        <w:t>17.4.</w:t>
      </w:r>
      <w:r>
        <w:rPr>
          <w:color w:val="231F20"/>
        </w:rPr>
        <w:t xml:space="preserve"> A penalidade de impedimento de licitar e contratar será aplicada pelo Secretário Municipal ou ocupante de cargo equivalente, nos demais órgãos e entidades da administração direta ou indireta.</w:t>
      </w:r>
    </w:p>
    <w:p w14:paraId="280291AD">
      <w:pPr>
        <w:autoSpaceDE w:val="0"/>
        <w:jc w:val="both"/>
        <w:rPr>
          <w:color w:val="231F20"/>
        </w:rPr>
      </w:pPr>
    </w:p>
    <w:p w14:paraId="059B70D8">
      <w:pPr>
        <w:autoSpaceDE w:val="0"/>
        <w:jc w:val="both"/>
      </w:pPr>
      <w:r>
        <w:rPr>
          <w:b/>
          <w:color w:val="231F20"/>
        </w:rPr>
        <w:t>17.5.</w:t>
      </w:r>
      <w:r>
        <w:rPr>
          <w:color w:val="231F20"/>
        </w:rPr>
        <w:t xml:space="preserve"> A penalidade de declaração de inidoneidade será aplicada pelo Secretário ou autoridade máxima da entidade, nos demais órgãos e entidades da administração direta ou indireta.</w:t>
      </w:r>
    </w:p>
    <w:p w14:paraId="3744BD86">
      <w:pPr>
        <w:autoSpaceDE w:val="0"/>
        <w:jc w:val="both"/>
        <w:rPr>
          <w:color w:val="231F20"/>
        </w:rPr>
      </w:pPr>
    </w:p>
    <w:p w14:paraId="63279A37">
      <w:pPr>
        <w:autoSpaceDE w:val="0"/>
        <w:jc w:val="both"/>
      </w:pPr>
      <w:r>
        <w:rPr>
          <w:b/>
          <w:color w:val="231F20"/>
        </w:rPr>
        <w:t>17.6.</w:t>
      </w:r>
      <w:r>
        <w:rPr>
          <w:color w:val="231F20"/>
        </w:rPr>
        <w:t xml:space="preserve"> A notificada poderá apresentar defesa escrita, no prazo de 15 (quinze) dias úteis, cujo termo inicial será:</w:t>
      </w:r>
    </w:p>
    <w:p w14:paraId="01541656">
      <w:pPr>
        <w:autoSpaceDE w:val="0"/>
        <w:jc w:val="both"/>
        <w:rPr>
          <w:color w:val="231F20"/>
        </w:rPr>
      </w:pPr>
    </w:p>
    <w:p w14:paraId="11E9995E">
      <w:pPr>
        <w:autoSpaceDE w:val="0"/>
        <w:jc w:val="both"/>
      </w:pPr>
      <w:r>
        <w:rPr>
          <w:b/>
          <w:color w:val="231F20"/>
        </w:rPr>
        <w:t>a)</w:t>
      </w:r>
      <w:r>
        <w:rPr>
          <w:color w:val="231F20"/>
        </w:rPr>
        <w:t xml:space="preserve"> o primeiro dia após a confirmação do recebimento da notificação por e-mail;</w:t>
      </w:r>
    </w:p>
    <w:p w14:paraId="49AD6080">
      <w:pPr>
        <w:autoSpaceDE w:val="0"/>
        <w:jc w:val="both"/>
        <w:rPr>
          <w:color w:val="231F20"/>
        </w:rPr>
      </w:pPr>
    </w:p>
    <w:p w14:paraId="1B5BDA11">
      <w:pPr>
        <w:autoSpaceDE w:val="0"/>
        <w:jc w:val="both"/>
      </w:pPr>
      <w:r>
        <w:rPr>
          <w:b/>
          <w:color w:val="231F20"/>
        </w:rPr>
        <w:t>b)</w:t>
      </w:r>
      <w:r>
        <w:rPr>
          <w:color w:val="231F20"/>
        </w:rPr>
        <w:t xml:space="preserve"> o primeiro dia após a juntada ao processo do Aviso de Recebimento da correspondência em que a notificação foi enviada;</w:t>
      </w:r>
    </w:p>
    <w:p w14:paraId="2DC98BF4">
      <w:pPr>
        <w:autoSpaceDE w:val="0"/>
        <w:jc w:val="both"/>
        <w:rPr>
          <w:color w:val="231F20"/>
        </w:rPr>
      </w:pPr>
    </w:p>
    <w:p w14:paraId="280AD7F3">
      <w:pPr>
        <w:autoSpaceDE w:val="0"/>
        <w:jc w:val="both"/>
      </w:pPr>
      <w:r>
        <w:rPr>
          <w:b/>
          <w:color w:val="231F20"/>
        </w:rPr>
        <w:t>c)</w:t>
      </w:r>
      <w:r>
        <w:rPr>
          <w:color w:val="231F20"/>
        </w:rPr>
        <w:t xml:space="preserve"> o primeiro dia após o fim do prazo de 5 (cinco) dias, quando a notificação for publicada no DIORONDON.</w:t>
      </w:r>
    </w:p>
    <w:p w14:paraId="430B439E">
      <w:pPr>
        <w:autoSpaceDE w:val="0"/>
        <w:jc w:val="both"/>
        <w:rPr>
          <w:color w:val="231F20"/>
        </w:rPr>
      </w:pPr>
    </w:p>
    <w:p w14:paraId="222DE309">
      <w:pPr>
        <w:autoSpaceDE w:val="0"/>
        <w:jc w:val="both"/>
      </w:pPr>
      <w:r>
        <w:rPr>
          <w:b/>
          <w:color w:val="231F20"/>
        </w:rPr>
        <w:t>17.7.</w:t>
      </w:r>
      <w:r>
        <w:rPr>
          <w:color w:val="231F20"/>
        </w:rPr>
        <w:t xml:space="preserve"> No caso de aplicação das penalidades de advertência, multa ou impedimento de licitar e contratar será concedido prazo de 15 (quinze) dias para apresentação de recurso a contar da publicação da decisão condenatória no DIORONDON.</w:t>
      </w:r>
    </w:p>
    <w:p w14:paraId="556B938E">
      <w:pPr>
        <w:autoSpaceDE w:val="0"/>
        <w:jc w:val="both"/>
        <w:rPr>
          <w:color w:val="231F20"/>
        </w:rPr>
      </w:pPr>
    </w:p>
    <w:p w14:paraId="1B088CC6">
      <w:pPr>
        <w:autoSpaceDE w:val="0"/>
        <w:jc w:val="both"/>
      </w:pPr>
      <w:r>
        <w:rPr>
          <w:b/>
          <w:color w:val="231F20"/>
        </w:rPr>
        <w:t>17.8.</w:t>
      </w:r>
      <w:r>
        <w:rPr>
          <w:color w:val="231F20"/>
        </w:rPr>
        <w:t xml:space="preserve"> Da aplicação de sanção de declaração de inidoneidade para licitar ou contratar caberá apenas pedido de reconsideração, que deverá ser apresentado no prazo de 15 (quinze) dias úteis, contado da data da publicação da decisão no DIORONDON.</w:t>
      </w:r>
    </w:p>
    <w:p w14:paraId="320D47C5">
      <w:pPr>
        <w:autoSpaceDE w:val="0"/>
        <w:jc w:val="both"/>
        <w:rPr>
          <w:color w:val="231F20"/>
        </w:rPr>
      </w:pPr>
    </w:p>
    <w:p w14:paraId="4287211D">
      <w:pPr>
        <w:autoSpaceDE w:val="0"/>
        <w:jc w:val="both"/>
      </w:pPr>
      <w:r>
        <w:rPr>
          <w:b/>
          <w:color w:val="231F20"/>
        </w:rPr>
        <w:t>17.9.</w:t>
      </w:r>
      <w:r>
        <w:rPr>
          <w:color w:val="231F20"/>
        </w:rPr>
        <w:t xml:space="preserve"> As sanções de advertência, impedimento de licitar e contratar e declaração de inidoneidade para licitar ou contratar poderão ser aplicadas, cumulativamente ou não, à penalidade de multa.</w:t>
      </w:r>
    </w:p>
    <w:p w14:paraId="550E397D">
      <w:pPr>
        <w:autoSpaceDE w:val="0"/>
        <w:jc w:val="both"/>
        <w:rPr>
          <w:color w:val="231F20"/>
        </w:rPr>
      </w:pPr>
    </w:p>
    <w:p w14:paraId="1DC05617">
      <w:pPr>
        <w:autoSpaceDE w:val="0"/>
        <w:jc w:val="both"/>
      </w:pPr>
      <w:r>
        <w:rPr>
          <w:b/>
          <w:color w:val="231F20"/>
        </w:rPr>
        <w:t>17.10.</w:t>
      </w:r>
      <w:r>
        <w:rPr>
          <w:color w:val="231F20"/>
        </w:rPr>
        <w:t xml:space="preserve"> O recurso e o pedido de reconsideração terão efeito suspensivo do ato ou da decisão recorrida até que sobrevenha decisão final da autoridade competente.</w:t>
      </w:r>
    </w:p>
    <w:p w14:paraId="76B3767C">
      <w:pPr>
        <w:autoSpaceDE w:val="0"/>
        <w:jc w:val="both"/>
        <w:rPr>
          <w:color w:val="231F20"/>
        </w:rPr>
      </w:pPr>
    </w:p>
    <w:p w14:paraId="5DD573D9">
      <w:pPr>
        <w:autoSpaceDE w:val="0"/>
        <w:jc w:val="both"/>
      </w:pPr>
      <w:r>
        <w:rPr>
          <w:b/>
          <w:color w:val="231F20"/>
        </w:rPr>
        <w:t xml:space="preserve">17.11. </w:t>
      </w:r>
      <w:r>
        <w:rPr>
          <w:color w:val="231F20"/>
        </w:rPr>
        <w:t xml:space="preserve">A aplicação das sanções previstas não exclui, em hipótese alguma, a obrigação de reparação integral dos danos causados, aplicando-se no que couber o disposto na Lei 14.133/2021 e Decreto Municipal 11.685/2023. </w:t>
      </w:r>
    </w:p>
    <w:p w14:paraId="60CA2EF6">
      <w:pPr>
        <w:autoSpaceDE w:val="0"/>
        <w:jc w:val="both"/>
        <w:rPr>
          <w:color w:val="231F20"/>
        </w:rPr>
      </w:pPr>
    </w:p>
    <w:p w14:paraId="4778791F">
      <w:pPr>
        <w:autoSpaceDE w:val="0"/>
        <w:jc w:val="both"/>
      </w:pPr>
      <w:r>
        <w:rPr>
          <w:b/>
        </w:rPr>
        <w:t>18. CLÁUSULA DÉCIMA OITAVA – DAS DISPOSIÇÕES FINAIS</w:t>
      </w:r>
    </w:p>
    <w:p w14:paraId="73CB675C">
      <w:pPr>
        <w:autoSpaceDE w:val="0"/>
        <w:jc w:val="both"/>
        <w:rPr>
          <w:b/>
          <w:color w:val="231F20"/>
        </w:rPr>
      </w:pPr>
    </w:p>
    <w:p w14:paraId="5D49311A">
      <w:pPr>
        <w:autoSpaceDE w:val="0"/>
        <w:jc w:val="both"/>
      </w:pPr>
      <w:r>
        <w:rPr>
          <w:b/>
          <w:color w:val="231F20"/>
        </w:rPr>
        <w:t>18.1.</w:t>
      </w:r>
      <w:r>
        <w:rPr>
          <w:color w:val="231F20"/>
        </w:rPr>
        <w:t xml:space="preserve"> Aplicam-se aos produtos todas as normas e exigências do Código de Defesa do Consumidor.  </w:t>
      </w:r>
    </w:p>
    <w:p w14:paraId="5BED95E0">
      <w:pPr>
        <w:autoSpaceDE w:val="0"/>
        <w:jc w:val="both"/>
        <w:rPr>
          <w:color w:val="231F20"/>
        </w:rPr>
      </w:pPr>
    </w:p>
    <w:p w14:paraId="449B8DA3">
      <w:pPr>
        <w:autoSpaceDE w:val="0"/>
        <w:jc w:val="both"/>
      </w:pPr>
      <w:r>
        <w:rPr>
          <w:b/>
          <w:color w:val="231F20"/>
        </w:rPr>
        <w:t>18.2.</w:t>
      </w:r>
      <w:r>
        <w:rPr>
          <w:color w:val="231F20"/>
        </w:rPr>
        <w:t xml:space="preserve"> A tolerância do Município com qualquer atraso ou inadimplência por parte do Detentor não importará de forma alguma em alteração ou novação.</w:t>
      </w:r>
    </w:p>
    <w:p w14:paraId="1E958933">
      <w:pPr>
        <w:autoSpaceDE w:val="0"/>
        <w:jc w:val="both"/>
      </w:pPr>
      <w:r>
        <w:rPr>
          <w:b/>
          <w:color w:val="231F20"/>
        </w:rPr>
        <w:t>18.3.</w:t>
      </w:r>
      <w:r>
        <w:rPr>
          <w:color w:val="231F20"/>
        </w:rPr>
        <w:t xml:space="preserve"> Para ciência dos interessados e efeitos legais, a publicação do extrato da presente ARP no Diário Oficial do Município – DIORONDON. Será providenciada e correrá por conta e ônus do Município.</w:t>
      </w:r>
    </w:p>
    <w:p w14:paraId="69BD1AFA">
      <w:pPr>
        <w:autoSpaceDE w:val="0"/>
        <w:jc w:val="both"/>
        <w:rPr>
          <w:color w:val="231F20"/>
        </w:rPr>
      </w:pPr>
    </w:p>
    <w:p w14:paraId="16C0E488">
      <w:pPr>
        <w:autoSpaceDE w:val="0"/>
        <w:jc w:val="both"/>
      </w:pPr>
      <w:r>
        <w:rPr>
          <w:b/>
          <w:color w:val="231F20"/>
        </w:rPr>
        <w:t>18.4.</w:t>
      </w:r>
      <w:r>
        <w:rPr>
          <w:color w:val="231F20"/>
        </w:rPr>
        <w:t xml:space="preserve"> Após 30 (trinta) dias do encerramento da vigência desta Ata de Registro de Preços, as amostras poderão ser retiradas em até 30 (trinta) dias pelo Detentor no seguinte endereço: Paço Municipal.</w:t>
      </w:r>
    </w:p>
    <w:p w14:paraId="010BE49E">
      <w:pPr>
        <w:autoSpaceDE w:val="0"/>
        <w:jc w:val="both"/>
        <w:rPr>
          <w:color w:val="231F20"/>
        </w:rPr>
      </w:pPr>
    </w:p>
    <w:p w14:paraId="404E1F25">
      <w:pPr>
        <w:autoSpaceDE w:val="0"/>
        <w:jc w:val="both"/>
      </w:pPr>
      <w:r>
        <w:rPr>
          <w:b/>
          <w:color w:val="231F20"/>
        </w:rPr>
        <w:t>18.4.1.</w:t>
      </w:r>
      <w:r>
        <w:rPr>
          <w:color w:val="231F20"/>
        </w:rPr>
        <w:t xml:space="preserve"> A Administração poderá dar o destino que melhor lhe convier às amostras que não forem retiradas no prazo estabelecido no subitem anterior, sem direito a ressarcimento.</w:t>
      </w:r>
    </w:p>
    <w:p w14:paraId="100DAC8E">
      <w:pPr>
        <w:autoSpaceDE w:val="0"/>
        <w:jc w:val="both"/>
        <w:rPr>
          <w:color w:val="231F20"/>
        </w:rPr>
      </w:pPr>
    </w:p>
    <w:p w14:paraId="77A187EB">
      <w:pPr>
        <w:autoSpaceDE w:val="0"/>
        <w:jc w:val="both"/>
      </w:pPr>
      <w:r>
        <w:rPr>
          <w:b/>
          <w:color w:val="231F20"/>
        </w:rPr>
        <w:t>18.5.</w:t>
      </w:r>
      <w:r>
        <w:rPr>
          <w:color w:val="231F20"/>
        </w:rPr>
        <w:t xml:space="preserve"> A presente ARP está vinculada, independentemente de transcrição, ao Edital e seus Anexos, bem como a proposta do Detentor, e integram o presente instrumento os seguintes anexos:</w:t>
      </w:r>
    </w:p>
    <w:p w14:paraId="0AE83564">
      <w:pPr>
        <w:autoSpaceDE w:val="0"/>
        <w:jc w:val="both"/>
      </w:pPr>
      <w:r>
        <w:rPr>
          <w:color w:val="FF0000"/>
        </w:rPr>
        <w:tab/>
      </w:r>
    </w:p>
    <w:p w14:paraId="0954E9EA">
      <w:pPr>
        <w:autoSpaceDE w:val="0"/>
        <w:jc w:val="both"/>
      </w:pPr>
      <w:r>
        <w:rPr>
          <w:b/>
          <w:color w:val="231F20"/>
        </w:rPr>
        <w:t>18.5.1. ANEXO I</w:t>
      </w:r>
      <w:r>
        <w:rPr>
          <w:color w:val="231F20"/>
        </w:rPr>
        <w:t xml:space="preserve"> – Termo de Referência</w:t>
      </w:r>
    </w:p>
    <w:p w14:paraId="199E6C69">
      <w:pPr>
        <w:autoSpaceDE w:val="0"/>
        <w:jc w:val="both"/>
        <w:rPr>
          <w:color w:val="231F20"/>
        </w:rPr>
      </w:pPr>
    </w:p>
    <w:p w14:paraId="6DB1A6AC">
      <w:pPr>
        <w:autoSpaceDE w:val="0"/>
        <w:jc w:val="both"/>
      </w:pPr>
      <w:r>
        <w:rPr>
          <w:b/>
          <w:color w:val="231F20"/>
        </w:rPr>
        <w:t xml:space="preserve">18.5.2. ANEXO II </w:t>
      </w:r>
      <w:r>
        <w:rPr>
          <w:color w:val="231F20"/>
        </w:rPr>
        <w:t>- Informações sobre os produtos registrados;</w:t>
      </w:r>
    </w:p>
    <w:p w14:paraId="53540CF8">
      <w:pPr>
        <w:autoSpaceDE w:val="0"/>
        <w:jc w:val="both"/>
        <w:rPr>
          <w:color w:val="231F20"/>
        </w:rPr>
      </w:pPr>
    </w:p>
    <w:p w14:paraId="5A8262EE">
      <w:pPr>
        <w:autoSpaceDE w:val="0"/>
        <w:jc w:val="both"/>
      </w:pPr>
      <w:r>
        <w:rPr>
          <w:b/>
          <w:color w:val="231F20"/>
        </w:rPr>
        <w:t>18.5.3. ANEXO III</w:t>
      </w:r>
      <w:r>
        <w:rPr>
          <w:color w:val="231F20"/>
        </w:rPr>
        <w:t xml:space="preserve"> - Relação dos endereços dos participantes deste Registro;</w:t>
      </w:r>
    </w:p>
    <w:p w14:paraId="571A2052">
      <w:pPr>
        <w:autoSpaceDE w:val="0"/>
        <w:jc w:val="both"/>
        <w:rPr>
          <w:color w:val="231F20"/>
        </w:rPr>
      </w:pPr>
    </w:p>
    <w:p w14:paraId="2056DE28">
      <w:pPr>
        <w:autoSpaceDE w:val="0"/>
        <w:jc w:val="both"/>
      </w:pPr>
      <w:r>
        <w:rPr>
          <w:b/>
          <w:color w:val="231F20"/>
        </w:rPr>
        <w:t>18.5.4. ANEXO IV</w:t>
      </w:r>
      <w:r>
        <w:rPr>
          <w:color w:val="231F20"/>
        </w:rPr>
        <w:t xml:space="preserve"> - Cadastro de Reserva;</w:t>
      </w:r>
    </w:p>
    <w:p w14:paraId="3F955B61">
      <w:pPr>
        <w:autoSpaceDE w:val="0"/>
        <w:jc w:val="both"/>
        <w:rPr>
          <w:color w:val="231F20"/>
        </w:rPr>
      </w:pPr>
    </w:p>
    <w:p w14:paraId="5FDF7094">
      <w:pPr>
        <w:autoSpaceDE w:val="0"/>
        <w:jc w:val="both"/>
      </w:pPr>
      <w:r>
        <w:rPr>
          <w:b/>
          <w:color w:val="231F20"/>
        </w:rPr>
        <w:t>18.5.5. ANEXO V</w:t>
      </w:r>
      <w:r>
        <w:rPr>
          <w:color w:val="231F20"/>
        </w:rPr>
        <w:t xml:space="preserve"> – Minuta de Contrato</w:t>
      </w:r>
    </w:p>
    <w:p w14:paraId="19EEBD87">
      <w:pPr>
        <w:autoSpaceDE w:val="0"/>
        <w:jc w:val="both"/>
        <w:rPr>
          <w:color w:val="231F20"/>
        </w:rPr>
      </w:pPr>
    </w:p>
    <w:p w14:paraId="76E99CC3">
      <w:pPr>
        <w:autoSpaceDE w:val="0"/>
        <w:jc w:val="both"/>
      </w:pPr>
      <w:r>
        <w:rPr>
          <w:color w:val="231F20"/>
        </w:rPr>
        <w:t>18.6. As questões decorrentes da utilização da presente Ata que não possam ser dirimidas administrativamente serão processadas e julgadas no foro da cidade de Rondonópolis/MT, eleito pelas partes com exclusão de qualquer outro.</w:t>
      </w:r>
    </w:p>
    <w:p w14:paraId="7B2FD1EF">
      <w:pPr>
        <w:spacing w:line="360" w:lineRule="auto"/>
        <w:jc w:val="both"/>
        <w:rPr>
          <w:color w:val="231F20"/>
        </w:rPr>
      </w:pPr>
    </w:p>
    <w:p w14:paraId="53F92624">
      <w:pPr>
        <w:autoSpaceDE w:val="0"/>
        <w:jc w:val="center"/>
        <w:rPr>
          <w:color w:val="231F20"/>
        </w:rPr>
      </w:pPr>
    </w:p>
    <w:p w14:paraId="5EEDEDD6">
      <w:pPr>
        <w:autoSpaceDE w:val="0"/>
        <w:jc w:val="center"/>
        <w:rPr>
          <w:color w:val="231F20"/>
        </w:rPr>
      </w:pPr>
    </w:p>
    <w:p w14:paraId="2ACDC667">
      <w:pPr>
        <w:autoSpaceDE w:val="0"/>
        <w:jc w:val="center"/>
        <w:rPr>
          <w:color w:val="231F20"/>
        </w:rPr>
      </w:pPr>
    </w:p>
    <w:p w14:paraId="6739B8EC">
      <w:pPr>
        <w:autoSpaceDE w:val="0"/>
        <w:jc w:val="center"/>
        <w:rPr>
          <w:color w:val="231F20"/>
        </w:rPr>
      </w:pPr>
    </w:p>
    <w:p w14:paraId="7495A9A5">
      <w:pPr>
        <w:autoSpaceDE w:val="0"/>
        <w:jc w:val="center"/>
      </w:pPr>
      <w:r>
        <w:rPr>
          <w:color w:val="231F20"/>
        </w:rPr>
        <w:t>Rondonópolis-MT, XX de XXXXX de 2025.</w:t>
      </w:r>
    </w:p>
    <w:p w14:paraId="2C9A0778">
      <w:pPr>
        <w:autoSpaceDE w:val="0"/>
        <w:jc w:val="both"/>
        <w:rPr>
          <w:color w:val="231F20"/>
        </w:rPr>
      </w:pPr>
    </w:p>
    <w:p w14:paraId="5B9D44E3">
      <w:pPr>
        <w:autoSpaceDE w:val="0"/>
        <w:jc w:val="both"/>
        <w:rPr>
          <w:color w:val="231F20"/>
        </w:rPr>
      </w:pPr>
    </w:p>
    <w:p w14:paraId="363A4694">
      <w:pPr>
        <w:autoSpaceDE w:val="0"/>
        <w:jc w:val="both"/>
        <w:rPr>
          <w:color w:val="231F20"/>
        </w:rPr>
      </w:pPr>
    </w:p>
    <w:p w14:paraId="7A542FA3">
      <w:pPr>
        <w:autoSpaceDE w:val="0"/>
        <w:jc w:val="both"/>
        <w:rPr>
          <w:color w:val="231F20"/>
        </w:rPr>
      </w:pPr>
    </w:p>
    <w:p w14:paraId="2C1D490F">
      <w:pPr>
        <w:autoSpaceDE w:val="0"/>
        <w:jc w:val="center"/>
      </w:pPr>
      <w:r>
        <w:rPr>
          <w:color w:val="231F20"/>
        </w:rPr>
        <w:t>...........................................................</w:t>
      </w:r>
    </w:p>
    <w:p w14:paraId="486D691A">
      <w:pPr>
        <w:autoSpaceDE w:val="0"/>
        <w:jc w:val="center"/>
        <w:rPr>
          <w:color w:val="231F20"/>
        </w:rPr>
      </w:pPr>
    </w:p>
    <w:p w14:paraId="691BA8DE">
      <w:pPr>
        <w:autoSpaceDE w:val="0"/>
        <w:jc w:val="center"/>
        <w:rPr>
          <w:color w:val="231F20"/>
        </w:rPr>
      </w:pPr>
    </w:p>
    <w:p w14:paraId="7A887C58">
      <w:pPr>
        <w:autoSpaceDE w:val="0"/>
        <w:jc w:val="center"/>
      </w:pPr>
      <w:r>
        <w:rPr>
          <w:color w:val="231F20"/>
        </w:rPr>
        <w:t>Secretário Municipal de .............................</w:t>
      </w:r>
    </w:p>
    <w:p w14:paraId="7584E437">
      <w:pPr>
        <w:autoSpaceDE w:val="0"/>
        <w:jc w:val="right"/>
        <w:rPr>
          <w:color w:val="231F20"/>
        </w:rPr>
      </w:pPr>
    </w:p>
    <w:p w14:paraId="12A5551F">
      <w:pPr>
        <w:autoSpaceDE w:val="0"/>
        <w:jc w:val="right"/>
        <w:rPr>
          <w:color w:val="231F20"/>
        </w:rPr>
      </w:pPr>
    </w:p>
    <w:p w14:paraId="25B18FD2">
      <w:pPr>
        <w:autoSpaceDE w:val="0"/>
        <w:jc w:val="right"/>
        <w:rPr>
          <w:color w:val="231F20"/>
        </w:rPr>
      </w:pPr>
    </w:p>
    <w:p w14:paraId="7AF0A6DB">
      <w:pPr>
        <w:autoSpaceDE w:val="0"/>
        <w:jc w:val="right"/>
        <w:rPr>
          <w:color w:val="231F20"/>
        </w:rPr>
      </w:pPr>
    </w:p>
    <w:p w14:paraId="61172923">
      <w:pPr>
        <w:autoSpaceDE w:val="0"/>
        <w:jc w:val="center"/>
      </w:pPr>
      <w:r>
        <w:rPr>
          <w:color w:val="231F20"/>
        </w:rPr>
        <w:t>.....................................................................</w:t>
      </w:r>
    </w:p>
    <w:p w14:paraId="50921694">
      <w:pPr>
        <w:autoSpaceDE w:val="0"/>
        <w:jc w:val="center"/>
      </w:pPr>
      <w:r>
        <w:rPr>
          <w:color w:val="231F20"/>
        </w:rPr>
        <w:t>Fornecedor da Ata de Registro de Preços</w:t>
      </w:r>
    </w:p>
    <w:p w14:paraId="23F2592A">
      <w:pPr>
        <w:rPr>
          <w:b/>
          <w:bCs/>
        </w:rPr>
      </w:pPr>
    </w:p>
    <w:p w14:paraId="741395C8">
      <w:pPr>
        <w:rPr>
          <w:bCs/>
        </w:rPr>
      </w:pPr>
      <w:bookmarkStart w:id="34" w:name="__RefHeading___Toc190782035"/>
      <w:bookmarkEnd w:id="34"/>
    </w:p>
    <w:p w14:paraId="1C431288">
      <w:pPr>
        <w:rPr>
          <w:bCs/>
        </w:rPr>
      </w:pPr>
    </w:p>
    <w:p w14:paraId="06A481A9">
      <w:pPr>
        <w:rPr>
          <w:bCs/>
        </w:rPr>
      </w:pPr>
    </w:p>
    <w:p w14:paraId="1EA00705">
      <w:pPr>
        <w:rPr>
          <w:bCs/>
        </w:rPr>
      </w:pPr>
    </w:p>
    <w:p w14:paraId="5CC29C88">
      <w:pPr>
        <w:rPr>
          <w:bCs/>
        </w:rPr>
      </w:pPr>
    </w:p>
    <w:p w14:paraId="4BC92336">
      <w:pPr>
        <w:rPr>
          <w:bCs/>
        </w:rPr>
      </w:pPr>
    </w:p>
    <w:p w14:paraId="2C88080E">
      <w:pPr>
        <w:rPr>
          <w:bCs/>
        </w:rPr>
      </w:pPr>
    </w:p>
    <w:p w14:paraId="002A36D9">
      <w:pPr>
        <w:rPr>
          <w:bCs/>
        </w:rPr>
      </w:pPr>
    </w:p>
    <w:p w14:paraId="4662602A">
      <w:pPr>
        <w:rPr>
          <w:bCs/>
        </w:rPr>
      </w:pPr>
    </w:p>
    <w:p w14:paraId="4DD1140B">
      <w:pPr>
        <w:rPr>
          <w:bCs/>
        </w:rPr>
      </w:pPr>
    </w:p>
    <w:p w14:paraId="7AAD1294">
      <w:pPr>
        <w:rPr>
          <w:bCs/>
        </w:rPr>
      </w:pPr>
    </w:p>
    <w:p w14:paraId="3544BD4F">
      <w:pPr>
        <w:rPr>
          <w:bCs/>
        </w:rPr>
      </w:pPr>
    </w:p>
    <w:p w14:paraId="30175333">
      <w:pPr>
        <w:rPr>
          <w:bCs/>
        </w:rPr>
      </w:pPr>
    </w:p>
    <w:p w14:paraId="5F6E2BA5">
      <w:pPr>
        <w:rPr>
          <w:bCs/>
        </w:rPr>
      </w:pPr>
    </w:p>
    <w:p w14:paraId="650FC6BF">
      <w:pPr>
        <w:rPr>
          <w:bCs/>
        </w:rPr>
      </w:pPr>
    </w:p>
    <w:p w14:paraId="5DC05ECC">
      <w:pPr>
        <w:rPr>
          <w:bCs/>
        </w:rPr>
      </w:pPr>
    </w:p>
    <w:p w14:paraId="048B27BC">
      <w:pPr>
        <w:rPr>
          <w:bCs/>
        </w:rPr>
      </w:pPr>
    </w:p>
    <w:p w14:paraId="23535935">
      <w:pPr>
        <w:pStyle w:val="2"/>
        <w:autoSpaceDE w:val="0"/>
        <w:spacing w:before="0" w:after="0"/>
        <w:jc w:val="center"/>
        <w:rPr>
          <w:rFonts w:ascii="Arial" w:hAnsi="Arial" w:cs="Arial"/>
          <w:b/>
          <w:color w:val="000000" w:themeColor="text1"/>
          <w:sz w:val="24"/>
          <w:szCs w:val="24"/>
          <w14:textFill>
            <w14:solidFill>
              <w14:schemeClr w14:val="tx1"/>
            </w14:solidFill>
          </w14:textFill>
        </w:rPr>
      </w:pPr>
      <w:r>
        <w:rPr>
          <w:rFonts w:ascii="Arial" w:hAnsi="Arial" w:cs="Arial"/>
          <w:b/>
          <w:color w:val="000000" w:themeColor="text1"/>
          <w:sz w:val="24"/>
          <w:szCs w:val="24"/>
          <w14:textFill>
            <w14:solidFill>
              <w14:schemeClr w14:val="tx1"/>
            </w14:solidFill>
          </w14:textFill>
        </w:rPr>
        <w:t xml:space="preserve">ANEXO II: </w:t>
      </w:r>
      <w:bookmarkStart w:id="35" w:name="__RefHeading___Toc190782036"/>
      <w:bookmarkEnd w:id="35"/>
      <w:r>
        <w:rPr>
          <w:rFonts w:ascii="Arial" w:hAnsi="Arial" w:cs="Arial"/>
          <w:b/>
          <w:color w:val="000000" w:themeColor="text1"/>
          <w:sz w:val="24"/>
          <w:szCs w:val="24"/>
          <w14:textFill>
            <w14:solidFill>
              <w14:schemeClr w14:val="tx1"/>
            </w14:solidFill>
          </w14:textFill>
        </w:rPr>
        <w:t>MINUTA DO CONTRATO.</w:t>
      </w:r>
    </w:p>
    <w:p w14:paraId="4F91FB87">
      <w:pPr>
        <w:autoSpaceDE w:val="0"/>
        <w:jc w:val="both"/>
        <w:rPr>
          <w:rFonts w:eastAsia="SimSun"/>
          <w:b/>
          <w:bCs/>
          <w:color w:val="231F20"/>
        </w:rPr>
      </w:pPr>
    </w:p>
    <w:p w14:paraId="2E6B4981">
      <w:pPr>
        <w:autoSpaceDE w:val="0"/>
        <w:jc w:val="both"/>
      </w:pPr>
      <w:r>
        <w:rPr>
          <w:bCs/>
        </w:rPr>
        <w:t xml:space="preserve">CONTRATO Nº </w:t>
      </w:r>
      <w:r>
        <w:rPr>
          <w:b/>
          <w:bCs/>
        </w:rPr>
        <w:t>XXX/XXXX</w:t>
      </w:r>
    </w:p>
    <w:p w14:paraId="64EF9D12">
      <w:pPr>
        <w:autoSpaceDE w:val="0"/>
        <w:ind w:left="4536"/>
        <w:jc w:val="both"/>
      </w:pPr>
      <w:r>
        <w:t xml:space="preserve">CONTRATO QUE ENTRE SI CELEBRAM O </w:t>
      </w:r>
      <w:r>
        <w:rPr>
          <w:b/>
        </w:rPr>
        <w:t>MUNICIPIO DE RONDONÓPOLIS</w:t>
      </w:r>
      <w:r>
        <w:t xml:space="preserve">, E (O)A EMPRESA: </w:t>
      </w:r>
      <w:r>
        <w:rPr>
          <w:b/>
        </w:rPr>
        <w:t>XXXXX</w:t>
      </w:r>
      <w:r>
        <w:t xml:space="preserve"> ABAIXO QUALIFICADOS, PARA O FIM QUE NELE SE DECLARA.</w:t>
      </w:r>
    </w:p>
    <w:p w14:paraId="5769B91E">
      <w:pPr>
        <w:autoSpaceDE w:val="0"/>
        <w:jc w:val="both"/>
        <w:rPr>
          <w:bCs/>
        </w:rPr>
      </w:pPr>
    </w:p>
    <w:p w14:paraId="0DEF9E3A">
      <w:pPr>
        <w:autoSpaceDE w:val="0"/>
        <w:jc w:val="both"/>
      </w:pPr>
      <w:r>
        <w:rPr>
          <w:b/>
          <w:bCs/>
        </w:rPr>
        <w:t>O MUNICÍPIO</w:t>
      </w:r>
      <w:r>
        <w:rPr>
          <w:b/>
        </w:rPr>
        <w:t xml:space="preserve"> DE RONDONÓPOLIS-MT.</w:t>
      </w:r>
      <w:r>
        <w:t xml:space="preserve">, pessoa jurídica de direito público, com sede na cidade de Rondonópolis, Estado de Mato Grosso, na Avenida Duque de Caxias n.º 1.000, Bairro: Vila Aurora, inscrita no CNPJ/MF. sob nº 03.347.101/0001-21, neste ato representado pelo Prefeito Municipal, Sr. </w:t>
      </w:r>
      <w:r>
        <w:rPr>
          <w:b/>
        </w:rPr>
        <w:t>xxxxxxxxxxxxxxxx</w:t>
      </w:r>
      <w:r>
        <w:t xml:space="preserve">, brasileiro, casado, xxxxxxxxxxxxx, portador do RG. n.º xxxxxx- SSP/xx, inscrito no CPF/MF. sob n.ºxxxxxxxxxxxxx, residente e domiciliado na cidade de Rondonópolis-MT., à Rua xxxxxxxxxxxx, Casa n.º xx, Quadra n.º xxx, Bairro xxxxxxx, doravante denominada simplesmente </w:t>
      </w:r>
      <w:r>
        <w:rPr>
          <w:b/>
        </w:rPr>
        <w:t>CONTRATANTE</w:t>
      </w:r>
      <w:r>
        <w:t xml:space="preserve">; e de outro lado, a empresa </w:t>
      </w:r>
      <w:r>
        <w:rPr>
          <w:b/>
        </w:rPr>
        <w:t>xxxxxxxxxxxx</w:t>
      </w:r>
      <w:r>
        <w:t xml:space="preserve">, inscrita no CNPJ/MF. sob nº xx.xxx.xxx/xxxx-xx, Inscrição Estadual nº xxx.xxx.xxx.xxx, com sede na cidade de xxxxxxxxxx, Estado de xxxxxxxxxx, à Rua xxxxxxxxxxxxx nº x.xxx, xxxxxxxx, neste ato representada pelo xxxxxxxx, Sr. </w:t>
      </w:r>
      <w:r>
        <w:rPr>
          <w:b/>
        </w:rPr>
        <w:t>xxxxxxxxx</w:t>
      </w:r>
      <w:r>
        <w:t xml:space="preserve">, xxxxxxxxx, xxxxxxx, xxxxxxxxxx, portador do RG. nº x.xxx.xxx-x SSP/xx., inscrito no CPF/MF. sob nº xxx.xxx.xxx-xx, residente e domiciliado na cidade de xxxxxxxxx-xx., à Rua xxxxxxxxxxx nº xxx, xxxxxxxx, doravante denominada simplesmente </w:t>
      </w:r>
      <w:r>
        <w:rPr>
          <w:b/>
        </w:rPr>
        <w:t>CONTRATADA</w:t>
      </w:r>
      <w:r>
        <w:t xml:space="preserve">, tendo em vista o resultado final do PREGÃO ELETRÔNICO nº.XX/2025, com fundamento na </w:t>
      </w:r>
      <w:r>
        <w:rPr>
          <w:color w:val="FF0000"/>
        </w:rPr>
        <w:t>Lei XXXXXXXX</w:t>
      </w:r>
      <w:r>
        <w:t>, e demais legislações correlatadas, resolvem celebrar o presente instrumento, mediante as cláusulas e condições a seguir:</w:t>
      </w:r>
    </w:p>
    <w:p w14:paraId="3C95C0E1">
      <w:pPr>
        <w:jc w:val="both"/>
      </w:pPr>
    </w:p>
    <w:p w14:paraId="58155F37">
      <w:pPr>
        <w:jc w:val="both"/>
      </w:pPr>
      <w:r>
        <w:rPr>
          <w:b/>
        </w:rPr>
        <w:t>CLÁUSULA PRIMEIRA – DOCUMENTOS INTEGRANTES DO CONTRATO</w:t>
      </w:r>
    </w:p>
    <w:p w14:paraId="46F294E6">
      <w:pPr>
        <w:jc w:val="both"/>
        <w:rPr>
          <w:b/>
        </w:rPr>
      </w:pPr>
    </w:p>
    <w:p w14:paraId="6347262D">
      <w:pPr>
        <w:numPr>
          <w:ilvl w:val="1"/>
          <w:numId w:val="5"/>
        </w:numPr>
        <w:suppressAutoHyphens/>
        <w:spacing w:line="240" w:lineRule="auto"/>
        <w:jc w:val="both"/>
      </w:pPr>
      <w:r>
        <w:t>Edital e anexos do PREGÃO ELETRÔNICO nº xx/2025;</w:t>
      </w:r>
    </w:p>
    <w:p w14:paraId="3B907865">
      <w:pPr>
        <w:ind w:left="405"/>
        <w:jc w:val="both"/>
      </w:pPr>
    </w:p>
    <w:p w14:paraId="306791AF">
      <w:pPr>
        <w:numPr>
          <w:ilvl w:val="1"/>
          <w:numId w:val="5"/>
        </w:numPr>
        <w:suppressAutoHyphens/>
        <w:spacing w:line="240" w:lineRule="auto"/>
        <w:jc w:val="both"/>
      </w:pPr>
      <w:r>
        <w:t>Termo de Referência nº XX/2025;</w:t>
      </w:r>
    </w:p>
    <w:p w14:paraId="104CBBFF">
      <w:pPr>
        <w:pStyle w:val="72"/>
      </w:pPr>
    </w:p>
    <w:p w14:paraId="6AD4DBCF">
      <w:pPr>
        <w:numPr>
          <w:ilvl w:val="1"/>
          <w:numId w:val="5"/>
        </w:numPr>
        <w:suppressAutoHyphens/>
        <w:spacing w:line="240" w:lineRule="auto"/>
        <w:jc w:val="both"/>
      </w:pPr>
      <w:r>
        <w:t>Proposta de Preço readequada da CONTRATADA;</w:t>
      </w:r>
    </w:p>
    <w:p w14:paraId="03017A8E">
      <w:pPr>
        <w:pStyle w:val="72"/>
      </w:pPr>
    </w:p>
    <w:p w14:paraId="6AC751DB">
      <w:pPr>
        <w:numPr>
          <w:ilvl w:val="1"/>
          <w:numId w:val="5"/>
        </w:numPr>
        <w:suppressAutoHyphens/>
        <w:spacing w:line="240" w:lineRule="auto"/>
        <w:jc w:val="both"/>
      </w:pPr>
      <w:r>
        <w:t>Anexos dos documentos aqui listados;</w:t>
      </w:r>
    </w:p>
    <w:p w14:paraId="7B9C2835">
      <w:pPr>
        <w:pStyle w:val="72"/>
        <w:ind w:left="0"/>
      </w:pPr>
    </w:p>
    <w:p w14:paraId="30BF6E85">
      <w:pPr>
        <w:jc w:val="both"/>
      </w:pPr>
      <w:r>
        <w:rPr>
          <w:b/>
        </w:rPr>
        <w:t>1.5.</w:t>
      </w:r>
      <w:r>
        <w:t xml:space="preserve"> Os documentos referidos acima são considerados suficientes para, em complemento a este instrumento contratual, definir a sua intenção e, desta forma, reger sua execução dentro do mais alto padrão da técnica atual.</w:t>
      </w:r>
    </w:p>
    <w:p w14:paraId="3AFFA222">
      <w:pPr>
        <w:jc w:val="both"/>
        <w:rPr>
          <w:b/>
        </w:rPr>
      </w:pPr>
    </w:p>
    <w:p w14:paraId="7BFBC691">
      <w:r>
        <w:rPr>
          <w:b/>
        </w:rPr>
        <w:t>CLÁUSULA SEGUNDA – DO OBJETO:</w:t>
      </w:r>
    </w:p>
    <w:p w14:paraId="04FDAF2D">
      <w:pPr>
        <w:rPr>
          <w:b/>
        </w:rPr>
      </w:pPr>
    </w:p>
    <w:p w14:paraId="133606A0">
      <w:pPr>
        <w:jc w:val="both"/>
      </w:pPr>
      <w:r>
        <w:rPr>
          <w:b/>
        </w:rPr>
        <w:t xml:space="preserve">2.1. </w:t>
      </w:r>
      <w:r>
        <w:t xml:space="preserve">O presente contrato tem por objeto </w:t>
      </w:r>
      <w:r>
        <w:rPr>
          <w:b/>
          <w:bCs/>
          <w:color w:val="000000"/>
        </w:rPr>
        <w:t xml:space="preserve">a prestação de serviços de fiscalização eletrônica automática de infrações de trânsito, compreendendo o monitoramento, registro, armazenamento e processamento de informações e imagens relativas a infrações de avanço de sinal vermelho e parada sobre faixa de pedestres em cruzamentos semafóricos, bem como, conforme configuração dos equipamentos e necessidade da Secretaria Municipal de Mobilidade Urbana (SEMOB) de Rondonópolis-MT, a fiscalização de excesso de velocidade. Conforme condições, especificações e quantitativos estabelecidos no edital e seus anexos. </w:t>
      </w:r>
      <w:r>
        <w:rPr>
          <w:bCs/>
          <w:color w:val="000000"/>
        </w:rPr>
        <w:t>N</w:t>
      </w:r>
      <w:r>
        <w:t>a forma e qualidade estabelecidas nos documentos constantes da CLÁÚSULA PRIMEIRA.</w:t>
      </w:r>
    </w:p>
    <w:p w14:paraId="1AA8E139">
      <w:pPr>
        <w:jc w:val="both"/>
        <w:rPr>
          <w:bCs/>
          <w:color w:val="000000"/>
        </w:rPr>
      </w:pPr>
    </w:p>
    <w:p w14:paraId="5BD50AEB">
      <w:pPr>
        <w:pStyle w:val="91"/>
        <w:jc w:val="both"/>
        <w:rPr>
          <w:rFonts w:ascii="Arial" w:hAnsi="Arial" w:eastAsia="Verdana" w:cs="Arial"/>
          <w:sz w:val="22"/>
          <w:szCs w:val="22"/>
        </w:rPr>
      </w:pPr>
      <w:r>
        <w:rPr>
          <w:rFonts w:ascii="Arial" w:hAnsi="Arial" w:eastAsia="Verdana" w:cs="Arial"/>
          <w:b/>
          <w:sz w:val="22"/>
          <w:szCs w:val="22"/>
        </w:rPr>
        <w:t xml:space="preserve">2.2. </w:t>
      </w:r>
      <w:r>
        <w:rPr>
          <w:rFonts w:ascii="Arial" w:hAnsi="Arial" w:eastAsia="Verdana" w:cs="Arial"/>
          <w:sz w:val="22"/>
          <w:szCs w:val="22"/>
        </w:rPr>
        <w:t>O material a ser contratado, quantidades, especificações e o valor estimado estão descrito no quadro abaixo:</w:t>
      </w:r>
    </w:p>
    <w:tbl>
      <w:tblPr>
        <w:tblStyle w:val="4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134"/>
        <w:gridCol w:w="3402"/>
        <w:gridCol w:w="709"/>
        <w:gridCol w:w="604"/>
        <w:gridCol w:w="1127"/>
        <w:gridCol w:w="1954"/>
      </w:tblGrid>
      <w:tr w14:paraId="797D9F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704" w:type="dxa"/>
            <w:vAlign w:val="center"/>
          </w:tcPr>
          <w:p w14:paraId="471D5E2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Item</w:t>
            </w:r>
          </w:p>
        </w:tc>
        <w:tc>
          <w:tcPr>
            <w:tcW w:w="1134" w:type="dxa"/>
            <w:vAlign w:val="center"/>
          </w:tcPr>
          <w:p w14:paraId="4CB2DF3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CÓD. TCE</w:t>
            </w:r>
          </w:p>
        </w:tc>
        <w:tc>
          <w:tcPr>
            <w:tcW w:w="3402" w:type="dxa"/>
            <w:vAlign w:val="center"/>
          </w:tcPr>
          <w:p w14:paraId="052AB01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Descrição</w:t>
            </w:r>
          </w:p>
        </w:tc>
        <w:tc>
          <w:tcPr>
            <w:tcW w:w="709" w:type="dxa"/>
            <w:vAlign w:val="center"/>
          </w:tcPr>
          <w:p w14:paraId="51B1BA5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Unidade</w:t>
            </w:r>
          </w:p>
        </w:tc>
        <w:tc>
          <w:tcPr>
            <w:tcW w:w="604" w:type="dxa"/>
            <w:vAlign w:val="center"/>
          </w:tcPr>
          <w:p w14:paraId="2A469BF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Qtd</w:t>
            </w:r>
          </w:p>
        </w:tc>
        <w:tc>
          <w:tcPr>
            <w:tcW w:w="1127" w:type="dxa"/>
            <w:vAlign w:val="center"/>
          </w:tcPr>
          <w:p w14:paraId="71D9E59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Valor Unitário Mensal</w:t>
            </w:r>
          </w:p>
        </w:tc>
        <w:tc>
          <w:tcPr>
            <w:tcW w:w="1954" w:type="dxa"/>
            <w:vAlign w:val="center"/>
          </w:tcPr>
          <w:p w14:paraId="4F4A892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Preço Total Mês</w:t>
            </w:r>
          </w:p>
        </w:tc>
      </w:tr>
      <w:tr w14:paraId="07B24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04" w:type="dxa"/>
            <w:vAlign w:val="center"/>
          </w:tcPr>
          <w:p w14:paraId="634E5A4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134" w:type="dxa"/>
            <w:vAlign w:val="center"/>
          </w:tcPr>
          <w:p w14:paraId="4FEB277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3402" w:type="dxa"/>
            <w:vAlign w:val="center"/>
          </w:tcPr>
          <w:p w14:paraId="0B56FFB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709" w:type="dxa"/>
            <w:vAlign w:val="center"/>
          </w:tcPr>
          <w:p w14:paraId="239CDB6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604" w:type="dxa"/>
            <w:vAlign w:val="center"/>
          </w:tcPr>
          <w:p w14:paraId="5399188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127" w:type="dxa"/>
            <w:vAlign w:val="center"/>
          </w:tcPr>
          <w:p w14:paraId="334E589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954" w:type="dxa"/>
            <w:vAlign w:val="center"/>
          </w:tcPr>
          <w:p w14:paraId="5FA9947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p>
        </w:tc>
      </w:tr>
      <w:tr w14:paraId="44A09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trPr>
        <w:tc>
          <w:tcPr>
            <w:tcW w:w="704" w:type="dxa"/>
            <w:vAlign w:val="center"/>
          </w:tcPr>
          <w:p w14:paraId="5E67915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1</w:t>
            </w:r>
          </w:p>
        </w:tc>
        <w:tc>
          <w:tcPr>
            <w:tcW w:w="1134" w:type="dxa"/>
            <w:vAlign w:val="center"/>
          </w:tcPr>
          <w:p w14:paraId="463ED48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265939-5</w:t>
            </w:r>
          </w:p>
        </w:tc>
        <w:tc>
          <w:tcPr>
            <w:tcW w:w="3402" w:type="dxa"/>
            <w:vAlign w:val="center"/>
          </w:tcPr>
          <w:p w14:paraId="736BFB6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de avanço de sinal vermelho e parada sobre faixa de travessia de pedestres - não intrusivo,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tc>
        <w:tc>
          <w:tcPr>
            <w:tcW w:w="709" w:type="dxa"/>
            <w:vAlign w:val="center"/>
          </w:tcPr>
          <w:p w14:paraId="1099BA9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7498615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92</w:t>
            </w:r>
          </w:p>
        </w:tc>
        <w:tc>
          <w:tcPr>
            <w:tcW w:w="1127" w:type="dxa"/>
            <w:vAlign w:val="center"/>
          </w:tcPr>
          <w:p w14:paraId="14DC083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4.816,67</w:t>
            </w:r>
          </w:p>
        </w:tc>
        <w:tc>
          <w:tcPr>
            <w:tcW w:w="1954" w:type="dxa"/>
            <w:vAlign w:val="center"/>
          </w:tcPr>
          <w:p w14:paraId="5833571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443.133,33</w:t>
            </w:r>
          </w:p>
        </w:tc>
      </w:tr>
      <w:tr w14:paraId="4B622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704" w:type="dxa"/>
            <w:vAlign w:val="center"/>
          </w:tcPr>
          <w:p w14:paraId="5EC8F0F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w:t>
            </w:r>
          </w:p>
        </w:tc>
        <w:tc>
          <w:tcPr>
            <w:tcW w:w="1134" w:type="dxa"/>
            <w:vAlign w:val="center"/>
          </w:tcPr>
          <w:p w14:paraId="5DD1C21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8864</w:t>
            </w:r>
          </w:p>
        </w:tc>
        <w:tc>
          <w:tcPr>
            <w:tcW w:w="3402" w:type="dxa"/>
            <w:vAlign w:val="center"/>
          </w:tcPr>
          <w:p w14:paraId="530F142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 radar de velocidade fixo com LAP - não intrusivo, através de prestação de serviços, incluso a instalação, operacionalização e a manutenção dos equipamentos, pelo prazo de 12 (doze) meses, conforme especificações técnicas.</w:t>
            </w:r>
          </w:p>
        </w:tc>
        <w:tc>
          <w:tcPr>
            <w:tcW w:w="709" w:type="dxa"/>
            <w:vAlign w:val="center"/>
          </w:tcPr>
          <w:p w14:paraId="0485711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0E5147E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100</w:t>
            </w:r>
          </w:p>
        </w:tc>
        <w:tc>
          <w:tcPr>
            <w:tcW w:w="1127" w:type="dxa"/>
            <w:vAlign w:val="center"/>
          </w:tcPr>
          <w:p w14:paraId="5F40C8C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4.850,00</w:t>
            </w:r>
          </w:p>
        </w:tc>
        <w:tc>
          <w:tcPr>
            <w:tcW w:w="1954" w:type="dxa"/>
            <w:vAlign w:val="center"/>
          </w:tcPr>
          <w:p w14:paraId="536456C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485.000,00</w:t>
            </w:r>
          </w:p>
        </w:tc>
      </w:tr>
      <w:tr w14:paraId="37058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704" w:type="dxa"/>
            <w:vAlign w:val="center"/>
          </w:tcPr>
          <w:p w14:paraId="10C8942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w:t>
            </w:r>
          </w:p>
        </w:tc>
        <w:tc>
          <w:tcPr>
            <w:tcW w:w="1134" w:type="dxa"/>
            <w:vAlign w:val="center"/>
          </w:tcPr>
          <w:p w14:paraId="79E7EC3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418773-3</w:t>
            </w:r>
          </w:p>
        </w:tc>
        <w:tc>
          <w:tcPr>
            <w:tcW w:w="3402" w:type="dxa"/>
            <w:vAlign w:val="center"/>
          </w:tcPr>
          <w:p w14:paraId="515DCA3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Fornecimento de sistema de controle e monitoramento de velocidade por meio de equipamento educativo não intrusivo, com comunicação de internet via cabeamento fibra óptica, equipado com câmera para leitura OCR, alimentado por energia elétrica convencional, a ser instalado em um ponto fixo, projetado sobre a via (coluna e braço projetado em aço galvanizado), conforme especificações técnicas.</w:t>
            </w:r>
          </w:p>
        </w:tc>
        <w:tc>
          <w:tcPr>
            <w:tcW w:w="709" w:type="dxa"/>
            <w:vAlign w:val="center"/>
          </w:tcPr>
          <w:p w14:paraId="1624019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7E5DD49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w:t>
            </w:r>
          </w:p>
        </w:tc>
        <w:tc>
          <w:tcPr>
            <w:tcW w:w="1127" w:type="dxa"/>
            <w:vAlign w:val="center"/>
          </w:tcPr>
          <w:p w14:paraId="70B2BEA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4.893,33</w:t>
            </w:r>
          </w:p>
        </w:tc>
        <w:tc>
          <w:tcPr>
            <w:tcW w:w="1954" w:type="dxa"/>
            <w:vAlign w:val="center"/>
          </w:tcPr>
          <w:p w14:paraId="14485C3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48.933,33</w:t>
            </w:r>
          </w:p>
        </w:tc>
      </w:tr>
      <w:tr w14:paraId="2FA64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704" w:type="dxa"/>
            <w:vAlign w:val="center"/>
          </w:tcPr>
          <w:p w14:paraId="6A80D0A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w:t>
            </w:r>
          </w:p>
        </w:tc>
        <w:tc>
          <w:tcPr>
            <w:tcW w:w="1134" w:type="dxa"/>
            <w:vAlign w:val="center"/>
          </w:tcPr>
          <w:p w14:paraId="6AD15FB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68030</w:t>
            </w:r>
          </w:p>
        </w:tc>
        <w:tc>
          <w:tcPr>
            <w:tcW w:w="3402" w:type="dxa"/>
            <w:vAlign w:val="center"/>
          </w:tcPr>
          <w:p w14:paraId="7D5219D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tc>
        <w:tc>
          <w:tcPr>
            <w:tcW w:w="709" w:type="dxa"/>
            <w:vAlign w:val="center"/>
          </w:tcPr>
          <w:p w14:paraId="51B7359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7C8F908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48</w:t>
            </w:r>
          </w:p>
        </w:tc>
        <w:tc>
          <w:tcPr>
            <w:tcW w:w="1127" w:type="dxa"/>
            <w:vAlign w:val="center"/>
          </w:tcPr>
          <w:p w14:paraId="2AA8B7D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4.960,00</w:t>
            </w:r>
          </w:p>
        </w:tc>
        <w:tc>
          <w:tcPr>
            <w:tcW w:w="1954" w:type="dxa"/>
            <w:vAlign w:val="center"/>
          </w:tcPr>
          <w:p w14:paraId="25A114C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238.080,00</w:t>
            </w:r>
          </w:p>
        </w:tc>
      </w:tr>
      <w:tr w14:paraId="7ED47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1819684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5</w:t>
            </w:r>
          </w:p>
        </w:tc>
        <w:tc>
          <w:tcPr>
            <w:tcW w:w="8930" w:type="dxa"/>
            <w:gridSpan w:val="6"/>
            <w:vAlign w:val="center"/>
          </w:tcPr>
          <w:p w14:paraId="752DF31C">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r>
              <w:rPr>
                <w:b/>
                <w:bCs/>
                <w:color w:val="000000"/>
                <w:sz w:val="20"/>
                <w:szCs w:val="20"/>
              </w:rPr>
              <w:t>Software para processamento as infrações e recursos de infrações, inclusive com apoio a JARI</w:t>
            </w:r>
          </w:p>
        </w:tc>
      </w:tr>
      <w:tr w14:paraId="673490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trPr>
        <w:tc>
          <w:tcPr>
            <w:tcW w:w="704" w:type="dxa"/>
            <w:vAlign w:val="center"/>
          </w:tcPr>
          <w:p w14:paraId="3777F2A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5.1</w:t>
            </w:r>
          </w:p>
        </w:tc>
        <w:tc>
          <w:tcPr>
            <w:tcW w:w="1134" w:type="dxa"/>
            <w:vAlign w:val="center"/>
          </w:tcPr>
          <w:p w14:paraId="0FA5A4D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8796</w:t>
            </w:r>
          </w:p>
        </w:tc>
        <w:tc>
          <w:tcPr>
            <w:tcW w:w="3402" w:type="dxa"/>
            <w:vAlign w:val="center"/>
          </w:tcPr>
          <w:p w14:paraId="60B1F60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Disponibilizar plataforma integrada de processamento de autos de infrações, físicos e eletrônicos; devendo permitir a integração de talonários eletrônicos de outras empresas; devendo permitir a consulta de infrações, recursos, e informações pertinentes ao cidadão via web; devendo permitir integração a plataformas de outras entidades, por exemplo: Detran ou SERPRO</w:t>
            </w:r>
          </w:p>
        </w:tc>
        <w:tc>
          <w:tcPr>
            <w:tcW w:w="709" w:type="dxa"/>
            <w:vAlign w:val="center"/>
          </w:tcPr>
          <w:p w14:paraId="2638DC5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6E69AEF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676B721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R$ 79.941,01</w:t>
            </w:r>
          </w:p>
        </w:tc>
        <w:tc>
          <w:tcPr>
            <w:tcW w:w="1954" w:type="dxa"/>
            <w:vAlign w:val="center"/>
          </w:tcPr>
          <w:p w14:paraId="20047CC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79.941,01</w:t>
            </w:r>
          </w:p>
        </w:tc>
      </w:tr>
      <w:tr w14:paraId="58347C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66A7ABE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6</w:t>
            </w:r>
          </w:p>
        </w:tc>
        <w:tc>
          <w:tcPr>
            <w:tcW w:w="8930" w:type="dxa"/>
            <w:gridSpan w:val="6"/>
            <w:vAlign w:val="center"/>
          </w:tcPr>
          <w:p w14:paraId="5D8526F5">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r>
              <w:rPr>
                <w:b/>
                <w:bCs/>
                <w:color w:val="000000"/>
                <w:sz w:val="20"/>
                <w:szCs w:val="20"/>
              </w:rPr>
              <w:t>Sistemas</w:t>
            </w:r>
          </w:p>
        </w:tc>
      </w:tr>
      <w:tr w14:paraId="492B6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04" w:type="dxa"/>
            <w:vAlign w:val="center"/>
          </w:tcPr>
          <w:p w14:paraId="27CD227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6.1</w:t>
            </w:r>
          </w:p>
        </w:tc>
        <w:tc>
          <w:tcPr>
            <w:tcW w:w="1134" w:type="dxa"/>
            <w:vAlign w:val="center"/>
          </w:tcPr>
          <w:p w14:paraId="03AFF8D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242343-0</w:t>
            </w:r>
          </w:p>
        </w:tc>
        <w:tc>
          <w:tcPr>
            <w:tcW w:w="3402" w:type="dxa"/>
            <w:vAlign w:val="center"/>
          </w:tcPr>
          <w:p w14:paraId="10E9054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 Anti Jammer</w:t>
            </w:r>
          </w:p>
        </w:tc>
        <w:tc>
          <w:tcPr>
            <w:tcW w:w="709" w:type="dxa"/>
            <w:vAlign w:val="center"/>
          </w:tcPr>
          <w:p w14:paraId="567C33B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75D97CF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102</w:t>
            </w:r>
          </w:p>
        </w:tc>
        <w:tc>
          <w:tcPr>
            <w:tcW w:w="1127" w:type="dxa"/>
            <w:vAlign w:val="center"/>
          </w:tcPr>
          <w:p w14:paraId="339B655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520,00</w:t>
            </w:r>
          </w:p>
        </w:tc>
        <w:tc>
          <w:tcPr>
            <w:tcW w:w="1954" w:type="dxa"/>
            <w:vAlign w:val="center"/>
          </w:tcPr>
          <w:p w14:paraId="6B8ADC1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53.040,00</w:t>
            </w:r>
          </w:p>
        </w:tc>
      </w:tr>
      <w:tr w14:paraId="326ED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04" w:type="dxa"/>
            <w:vAlign w:val="center"/>
          </w:tcPr>
          <w:p w14:paraId="2170B98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6.2</w:t>
            </w:r>
          </w:p>
        </w:tc>
        <w:tc>
          <w:tcPr>
            <w:tcW w:w="1134" w:type="dxa"/>
            <w:vAlign w:val="center"/>
          </w:tcPr>
          <w:p w14:paraId="7C893EC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399850-9</w:t>
            </w:r>
          </w:p>
        </w:tc>
        <w:tc>
          <w:tcPr>
            <w:tcW w:w="3402" w:type="dxa"/>
            <w:vAlign w:val="center"/>
          </w:tcPr>
          <w:p w14:paraId="3839A1D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Fluxo Veicular e Estatística On-Line</w:t>
            </w:r>
          </w:p>
        </w:tc>
        <w:tc>
          <w:tcPr>
            <w:tcW w:w="709" w:type="dxa"/>
            <w:vAlign w:val="center"/>
          </w:tcPr>
          <w:p w14:paraId="1601CD2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5E293A0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6EA3C9A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9.800,00</w:t>
            </w:r>
          </w:p>
        </w:tc>
        <w:tc>
          <w:tcPr>
            <w:tcW w:w="1954" w:type="dxa"/>
            <w:vAlign w:val="center"/>
          </w:tcPr>
          <w:p w14:paraId="1C7AE9F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9.800,00</w:t>
            </w:r>
          </w:p>
        </w:tc>
      </w:tr>
      <w:tr w14:paraId="3A583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1B8119D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6.3</w:t>
            </w:r>
          </w:p>
        </w:tc>
        <w:tc>
          <w:tcPr>
            <w:tcW w:w="1134" w:type="dxa"/>
            <w:vAlign w:val="center"/>
          </w:tcPr>
          <w:p w14:paraId="42C9E3F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24224</w:t>
            </w:r>
          </w:p>
        </w:tc>
        <w:tc>
          <w:tcPr>
            <w:tcW w:w="3402" w:type="dxa"/>
            <w:vAlign w:val="center"/>
          </w:tcPr>
          <w:p w14:paraId="563C3D4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inteligência Analítica - BI</w:t>
            </w:r>
          </w:p>
        </w:tc>
        <w:tc>
          <w:tcPr>
            <w:tcW w:w="709" w:type="dxa"/>
            <w:vAlign w:val="center"/>
          </w:tcPr>
          <w:p w14:paraId="6008650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3D187DE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6FA3083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5.091,71</w:t>
            </w:r>
          </w:p>
        </w:tc>
        <w:tc>
          <w:tcPr>
            <w:tcW w:w="1954" w:type="dxa"/>
            <w:vAlign w:val="center"/>
          </w:tcPr>
          <w:p w14:paraId="5C801FF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5.091,71</w:t>
            </w:r>
          </w:p>
        </w:tc>
      </w:tr>
      <w:tr w14:paraId="25F54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6CFF4E0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6.4</w:t>
            </w:r>
          </w:p>
        </w:tc>
        <w:tc>
          <w:tcPr>
            <w:tcW w:w="1134" w:type="dxa"/>
            <w:vAlign w:val="center"/>
          </w:tcPr>
          <w:p w14:paraId="1960BB9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27513</w:t>
            </w:r>
          </w:p>
        </w:tc>
        <w:tc>
          <w:tcPr>
            <w:tcW w:w="3402" w:type="dxa"/>
            <w:vAlign w:val="center"/>
          </w:tcPr>
          <w:p w14:paraId="2F090B9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Integrador para Gerenciamento de Imagens e Processamento das Informações Geradas</w:t>
            </w:r>
          </w:p>
        </w:tc>
        <w:tc>
          <w:tcPr>
            <w:tcW w:w="709" w:type="dxa"/>
            <w:vAlign w:val="center"/>
          </w:tcPr>
          <w:p w14:paraId="090E45C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03976CF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633BDD6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43.000,00</w:t>
            </w:r>
          </w:p>
        </w:tc>
        <w:tc>
          <w:tcPr>
            <w:tcW w:w="1954" w:type="dxa"/>
            <w:vAlign w:val="center"/>
          </w:tcPr>
          <w:p w14:paraId="0AA98F9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43.000,00</w:t>
            </w:r>
          </w:p>
        </w:tc>
      </w:tr>
    </w:tbl>
    <w:p w14:paraId="60FCC05E">
      <w:pPr>
        <w:jc w:val="both"/>
        <w:rPr>
          <w:b/>
          <w:sz w:val="24"/>
          <w:szCs w:val="24"/>
        </w:rPr>
      </w:pPr>
    </w:p>
    <w:p w14:paraId="2889AF32">
      <w:pPr>
        <w:jc w:val="both"/>
      </w:pPr>
      <w:r>
        <w:rPr>
          <w:b/>
        </w:rPr>
        <w:t>CLÁUSULA TERCEIRA – DO REGIME DE EXECUÇÃO E FORMA DE FORNECIMENTO</w:t>
      </w:r>
    </w:p>
    <w:p w14:paraId="4512E89B">
      <w:pPr>
        <w:jc w:val="both"/>
        <w:rPr>
          <w:b/>
        </w:rPr>
      </w:pPr>
    </w:p>
    <w:p w14:paraId="01725B2D">
      <w:pPr>
        <w:jc w:val="both"/>
      </w:pPr>
      <w:r>
        <w:rPr>
          <w:b/>
        </w:rPr>
        <w:t xml:space="preserve">3.1. </w:t>
      </w:r>
      <w:r>
        <w:t>O regime de execução é diferido e o fornecimento do objeto se dará mediante solicitação realizada pelo órgão municipal, por meio de ordem de fornecimento, devendo constar informações que identifique o solicitante</w:t>
      </w:r>
      <w:r>
        <w:rPr>
          <w:b/>
        </w:rPr>
        <w:t>;</w:t>
      </w:r>
    </w:p>
    <w:p w14:paraId="1B209129">
      <w:pPr>
        <w:jc w:val="both"/>
        <w:rPr>
          <w:b/>
        </w:rPr>
      </w:pPr>
    </w:p>
    <w:p w14:paraId="4B6D9422">
      <w:pPr>
        <w:jc w:val="both"/>
      </w:pPr>
      <w:r>
        <w:rPr>
          <w:b/>
        </w:rPr>
        <w:t xml:space="preserve">3.2. </w:t>
      </w:r>
      <w:r>
        <w:t>Na execução do objeto deverão ainda serem observadas as condições estabelecidas no termo de referência, edital e seus anexos;</w:t>
      </w:r>
    </w:p>
    <w:p w14:paraId="45D8B135">
      <w:pPr>
        <w:jc w:val="both"/>
        <w:rPr>
          <w:b/>
        </w:rPr>
      </w:pPr>
    </w:p>
    <w:p w14:paraId="2513201D">
      <w:pPr>
        <w:jc w:val="both"/>
      </w:pPr>
      <w:r>
        <w:rPr>
          <w:b/>
        </w:rPr>
        <w:t xml:space="preserve">3.3. </w:t>
      </w:r>
      <w:r>
        <w:t>O fornecimento/execução do objeto licitado terá início após a assinatura deste, expedição de nota de empenho e a emissão da ordem de fornecimento.</w:t>
      </w:r>
    </w:p>
    <w:p w14:paraId="69C3B48D">
      <w:pPr>
        <w:jc w:val="both"/>
        <w:rPr>
          <w:b/>
        </w:rPr>
      </w:pPr>
    </w:p>
    <w:p w14:paraId="13F27206">
      <w:pPr>
        <w:jc w:val="both"/>
      </w:pPr>
      <w:r>
        <w:rPr>
          <w:b/>
        </w:rPr>
        <w:t>CLÁUSULA QUARTA – DAS ESPECIFICAÇÕES E QUANTIDADES DOS PRODUTOS</w:t>
      </w:r>
    </w:p>
    <w:p w14:paraId="570CF9C4">
      <w:pPr>
        <w:jc w:val="both"/>
        <w:rPr>
          <w:b/>
        </w:rPr>
      </w:pPr>
    </w:p>
    <w:p w14:paraId="27D6A6C7">
      <w:pPr>
        <w:jc w:val="both"/>
      </w:pPr>
      <w:r>
        <w:rPr>
          <w:b/>
        </w:rPr>
        <w:t xml:space="preserve">4.1. </w:t>
      </w:r>
      <w:r>
        <w:t>O objeto licitado deverá ser fornecido conforme as especificações e quantidades licitadas e contratadas, constantes nos documentos da CLÁUSULA PRIMEIRA.</w:t>
      </w:r>
      <w:r>
        <w:rPr>
          <w:b/>
        </w:rPr>
        <w:t xml:space="preserve"> </w:t>
      </w:r>
    </w:p>
    <w:p w14:paraId="70C8DA36">
      <w:pPr>
        <w:jc w:val="both"/>
      </w:pPr>
      <w:r>
        <w:rPr>
          <w:b/>
        </w:rPr>
        <w:t xml:space="preserve">    </w:t>
      </w:r>
    </w:p>
    <w:p w14:paraId="6468331D">
      <w:r>
        <w:rPr>
          <w:b/>
        </w:rPr>
        <w:t>CLÁUSULA QUINTA – DAS OBRIGAÇÕES DA CONTRATADA:</w:t>
      </w:r>
    </w:p>
    <w:p w14:paraId="0C7DD626">
      <w:pPr>
        <w:jc w:val="both"/>
        <w:rPr>
          <w:b/>
        </w:rPr>
      </w:pPr>
    </w:p>
    <w:p w14:paraId="528D37E3">
      <w:pPr>
        <w:jc w:val="both"/>
      </w:pPr>
      <w:r>
        <w:rPr>
          <w:rStyle w:val="207"/>
          <w:rFonts w:eastAsia="Calibri"/>
          <w:b/>
        </w:rPr>
        <w:t>5.1.</w:t>
      </w:r>
      <w:r>
        <w:rPr>
          <w:rStyle w:val="207"/>
          <w:rFonts w:eastAsia="Calibri"/>
        </w:rPr>
        <w:t xml:space="preserve"> Constituem obrigações da Contratada, a</w:t>
      </w:r>
      <w:r>
        <w:rPr>
          <w:lang w:val="pt-PT"/>
        </w:rPr>
        <w:t>lém das demais previstas no Termo de Referência</w:t>
      </w:r>
      <w:r>
        <w:rPr>
          <w:rStyle w:val="207"/>
          <w:rFonts w:eastAsia="Calibri"/>
        </w:rPr>
        <w:t xml:space="preserve">: </w:t>
      </w:r>
    </w:p>
    <w:p w14:paraId="0EA5CF44">
      <w:pPr>
        <w:jc w:val="both"/>
        <w:rPr>
          <w:rStyle w:val="207"/>
          <w:rFonts w:eastAsia="Calibri"/>
          <w:b/>
        </w:rPr>
      </w:pPr>
    </w:p>
    <w:p w14:paraId="0A0D2857">
      <w:pPr>
        <w:jc w:val="both"/>
      </w:pPr>
      <w:r>
        <w:rPr>
          <w:rStyle w:val="207"/>
          <w:rFonts w:eastAsia="Calibri"/>
          <w:b/>
        </w:rPr>
        <w:t>5.2.</w:t>
      </w:r>
      <w:r>
        <w:rPr>
          <w:rStyle w:val="207"/>
          <w:rFonts w:eastAsia="Calibri"/>
        </w:rPr>
        <w:t xml:space="preserve"> Cumprir o objeto da contratação, realizando os serviços especificados na Cláusula Segunda, conforme disposições contidas na cláusula quarta. </w:t>
      </w:r>
    </w:p>
    <w:p w14:paraId="35D153C5">
      <w:pPr>
        <w:jc w:val="both"/>
      </w:pPr>
    </w:p>
    <w:p w14:paraId="3A876EF4">
      <w:pPr>
        <w:jc w:val="both"/>
      </w:pPr>
      <w:r>
        <w:rPr>
          <w:rStyle w:val="207"/>
          <w:rFonts w:eastAsia="Calibri"/>
          <w:b/>
        </w:rPr>
        <w:t>5.3.</w:t>
      </w:r>
      <w:r>
        <w:rPr>
          <w:rStyle w:val="207"/>
          <w:rFonts w:eastAsia="Calibri"/>
        </w:rPr>
        <w:t xml:space="preserve"> Cumprir todas as leis e posturas federais, estaduais e municipais pertinentes e responsabilizar-se por todos os prejuízos decorrentes de infrações a que houver dado causa. </w:t>
      </w:r>
    </w:p>
    <w:p w14:paraId="78B85DEE">
      <w:pPr>
        <w:jc w:val="both"/>
      </w:pPr>
    </w:p>
    <w:p w14:paraId="53F864C0">
      <w:pPr>
        <w:jc w:val="both"/>
      </w:pPr>
      <w:r>
        <w:rPr>
          <w:rStyle w:val="207"/>
          <w:rFonts w:eastAsia="Calibri"/>
          <w:b/>
        </w:rPr>
        <w:t>5.4.</w:t>
      </w:r>
      <w:r>
        <w:rPr>
          <w:rStyle w:val="207"/>
          <w:rFonts w:eastAsia="Calibri"/>
        </w:rPr>
        <w:t xml:space="preserve"> Assumir, com exclusividade, todos os tributos, impostos e taxas que forem devidos em decorrência do objeto da contratação e quaisquer outras despesas que se fizerem necessárias ao cumprimento do objeto pactuado, inclusive quanto ao transporte, carga e descarga, configuração, despesas com pessoal e apresentar os respectivos comprovantes quando solicitado pelo </w:t>
      </w:r>
      <w:r>
        <w:rPr>
          <w:rStyle w:val="207"/>
          <w:rFonts w:eastAsia="Calibri"/>
          <w:b/>
        </w:rPr>
        <w:t>CONTRATANTE</w:t>
      </w:r>
      <w:r>
        <w:rPr>
          <w:rStyle w:val="207"/>
          <w:rFonts w:eastAsia="Calibri"/>
        </w:rPr>
        <w:t xml:space="preserve">. </w:t>
      </w:r>
    </w:p>
    <w:p w14:paraId="7B3E0C2A">
      <w:pPr>
        <w:jc w:val="both"/>
      </w:pPr>
    </w:p>
    <w:p w14:paraId="16658F1C">
      <w:pPr>
        <w:jc w:val="both"/>
        <w:rPr>
          <w:rStyle w:val="207"/>
          <w:rFonts w:eastAsia="Calibri"/>
        </w:rPr>
      </w:pPr>
      <w:r>
        <w:rPr>
          <w:rStyle w:val="207"/>
          <w:rFonts w:eastAsia="Calibri"/>
          <w:b/>
        </w:rPr>
        <w:t>5.5.</w:t>
      </w:r>
      <w:r>
        <w:rPr>
          <w:rStyle w:val="207"/>
          <w:rFonts w:eastAsia="Calibri"/>
        </w:rPr>
        <w:t xml:space="preserve"> Aceitar, nas mesmas condições contratuais, os acréscimos ou supressões que se fizerem, no objeto deste instrumento de até 25% (vinte e cinco por cento) do valor inicial atualizado da contratação. </w:t>
      </w:r>
    </w:p>
    <w:p w14:paraId="1DD79F9B">
      <w:pPr>
        <w:jc w:val="both"/>
      </w:pPr>
    </w:p>
    <w:p w14:paraId="37F277CD">
      <w:pPr>
        <w:jc w:val="both"/>
      </w:pPr>
      <w:r>
        <w:rPr>
          <w:rStyle w:val="207"/>
          <w:rFonts w:eastAsia="Calibri"/>
          <w:b/>
        </w:rPr>
        <w:t>5.6.</w:t>
      </w:r>
      <w:r>
        <w:rPr>
          <w:rStyle w:val="207"/>
          <w:rFonts w:eastAsia="Calibri"/>
        </w:rPr>
        <w:t xml:space="preserve"> Responder perante a </w:t>
      </w:r>
      <w:r>
        <w:rPr>
          <w:rStyle w:val="207"/>
          <w:rFonts w:eastAsia="Calibri"/>
          <w:b/>
        </w:rPr>
        <w:t>CONTRATANTE</w:t>
      </w:r>
      <w:r>
        <w:rPr>
          <w:rStyle w:val="207"/>
          <w:rFonts w:eastAsia="Calibri"/>
        </w:rPr>
        <w:t xml:space="preserve"> e terceiros por eventuais prejuízos e danos decorrentes de sua demora ou de sua omissão, na condução do objeto deste instrumento sob a sua responsabilidade ou por erro relativo à sua execução. </w:t>
      </w:r>
    </w:p>
    <w:p w14:paraId="6BEAB2C9">
      <w:pPr>
        <w:jc w:val="both"/>
      </w:pPr>
    </w:p>
    <w:p w14:paraId="25D9B585">
      <w:pPr>
        <w:jc w:val="both"/>
      </w:pPr>
      <w:r>
        <w:rPr>
          <w:rStyle w:val="207"/>
          <w:rFonts w:eastAsia="Calibri"/>
          <w:b/>
        </w:rPr>
        <w:t>5.7.</w:t>
      </w:r>
      <w:r>
        <w:rPr>
          <w:rStyle w:val="207"/>
          <w:rFonts w:eastAsia="Calibri"/>
        </w:rPr>
        <w:t xml:space="preserve"> Responsabilizar-se por quaisquer ônus decorrentes de omissões ou erros na elaboração de estimativa de custos e que redundem em aumento de despesas para o </w:t>
      </w:r>
      <w:r>
        <w:rPr>
          <w:rStyle w:val="207"/>
          <w:rFonts w:eastAsia="Calibri"/>
          <w:b/>
        </w:rPr>
        <w:t>CONTRATANTE</w:t>
      </w:r>
      <w:r>
        <w:rPr>
          <w:rStyle w:val="207"/>
          <w:rFonts w:eastAsia="Calibri"/>
        </w:rPr>
        <w:t xml:space="preserve">. </w:t>
      </w:r>
    </w:p>
    <w:p w14:paraId="2C156365">
      <w:pPr>
        <w:jc w:val="both"/>
      </w:pPr>
    </w:p>
    <w:p w14:paraId="4B92D662">
      <w:pPr>
        <w:jc w:val="both"/>
      </w:pPr>
      <w:r>
        <w:rPr>
          <w:rStyle w:val="207"/>
          <w:rFonts w:eastAsia="Calibri"/>
          <w:b/>
        </w:rPr>
        <w:t>5.8.</w:t>
      </w:r>
      <w:r>
        <w:rPr>
          <w:rStyle w:val="207"/>
          <w:rFonts w:eastAsia="Calibri"/>
        </w:rPr>
        <w:t xml:space="preserve"> Responsabilizar-se pelo ônus resultante de quaisquer ações, demandas, custos e despesas decorrentes de danos causados por culpa ou dolo de seus empregados, prepostos e/ou contratados, bem como se obrigar por quaisquer responsabilidades decorrentes de ações judiciais que lhe venham a ser atribuídas por força de lei, relacionadas com o cumprimento da contratação. </w:t>
      </w:r>
    </w:p>
    <w:p w14:paraId="5B374C62">
      <w:pPr>
        <w:jc w:val="both"/>
      </w:pPr>
    </w:p>
    <w:p w14:paraId="737A432F">
      <w:pPr>
        <w:jc w:val="both"/>
      </w:pPr>
      <w:r>
        <w:rPr>
          <w:rStyle w:val="207"/>
          <w:rFonts w:eastAsia="Calibri"/>
          <w:b/>
        </w:rPr>
        <w:t>5.9.</w:t>
      </w:r>
      <w:r>
        <w:rPr>
          <w:rStyle w:val="207"/>
          <w:rFonts w:eastAsia="Calibri"/>
        </w:rPr>
        <w:t xml:space="preserve"> Manter-se, durante toda a execução do contrato, em compatibilidade com todas as condições de habilitação e qualificação exigidas na licitação. </w:t>
      </w:r>
    </w:p>
    <w:p w14:paraId="34705E62">
      <w:pPr>
        <w:jc w:val="both"/>
      </w:pPr>
    </w:p>
    <w:p w14:paraId="55E19643">
      <w:pPr>
        <w:jc w:val="both"/>
      </w:pPr>
      <w:r>
        <w:rPr>
          <w:rStyle w:val="207"/>
          <w:rFonts w:eastAsia="Calibri"/>
          <w:b/>
        </w:rPr>
        <w:t>5.10.</w:t>
      </w:r>
      <w:r>
        <w:rPr>
          <w:rStyle w:val="207"/>
          <w:rFonts w:eastAsia="Calibri"/>
        </w:rPr>
        <w:t xml:space="preserve"> Comunicar a Prefeitura Municipal qualquer alteração às condições em que se encontrava no momento da contratação dos serviços, como endereço, telefone, conta bancária, responsável pela empresa, etc.</w:t>
      </w:r>
      <w:r>
        <w:t xml:space="preserve"> </w:t>
      </w:r>
    </w:p>
    <w:p w14:paraId="4A4E7F2D">
      <w:pPr>
        <w:jc w:val="both"/>
      </w:pPr>
    </w:p>
    <w:p w14:paraId="4071BE55">
      <w:pPr>
        <w:jc w:val="both"/>
        <w:rPr>
          <w:u w:val="single"/>
        </w:rPr>
      </w:pPr>
      <w:r>
        <w:rPr>
          <w:b/>
          <w:u w:val="single"/>
          <w:lang w:val="pt-PT"/>
        </w:rPr>
        <w:t>5.11</w:t>
      </w:r>
      <w:r>
        <w:rPr>
          <w:u w:val="single"/>
          <w:lang w:val="pt-PT"/>
        </w:rPr>
        <w:t xml:space="preserve">. A </w:t>
      </w:r>
      <w:r>
        <w:rPr>
          <w:b/>
          <w:u w:val="single"/>
          <w:lang w:val="pt-PT"/>
        </w:rPr>
        <w:t>CONTRATADA</w:t>
      </w:r>
      <w:r>
        <w:rPr>
          <w:u w:val="single"/>
          <w:lang w:val="pt-PT"/>
        </w:rPr>
        <w:t xml:space="preserve"> se obriga a permitir que a auditoria interna da </w:t>
      </w:r>
      <w:r>
        <w:rPr>
          <w:b/>
          <w:u w:val="single"/>
          <w:lang w:val="pt-PT"/>
        </w:rPr>
        <w:t>CONTRATANTE</w:t>
      </w:r>
      <w:r>
        <w:rPr>
          <w:u w:val="single"/>
          <w:lang w:val="pt-PT"/>
        </w:rPr>
        <w:t xml:space="preserve"> por ela indicada, tenham acesso a todos os documentos fiscais e contábeis que digam respeito aos serviços fornecidos à </w:t>
      </w:r>
      <w:r>
        <w:rPr>
          <w:b/>
          <w:u w:val="single"/>
          <w:lang w:val="pt-PT"/>
        </w:rPr>
        <w:t>CONTRATANTE</w:t>
      </w:r>
      <w:r>
        <w:rPr>
          <w:u w:val="single"/>
          <w:lang w:val="pt-PT"/>
        </w:rPr>
        <w:t>.</w:t>
      </w:r>
    </w:p>
    <w:p w14:paraId="669FACAD">
      <w:pPr>
        <w:jc w:val="both"/>
        <w:rPr>
          <w:lang w:val="pt-PT"/>
        </w:rPr>
      </w:pPr>
    </w:p>
    <w:p w14:paraId="16B054F9">
      <w:pPr>
        <w:jc w:val="both"/>
      </w:pPr>
      <w:r>
        <w:rPr>
          <w:rStyle w:val="207"/>
          <w:rFonts w:eastAsia="Calibri"/>
          <w:b/>
        </w:rPr>
        <w:t>5.12.</w:t>
      </w:r>
      <w:r>
        <w:rPr>
          <w:rStyle w:val="207"/>
          <w:rFonts w:eastAsia="Calibri"/>
        </w:rPr>
        <w:t xml:space="preserve"> Executar o fornecimento dentro dos padrões estabelecidos, de acordo com a especificação dos serviços, responsabilizando-se por eventuais prejuízos decorrentes do descumprimento de condição estabelecida. </w:t>
      </w:r>
    </w:p>
    <w:p w14:paraId="05B88C0F">
      <w:pPr>
        <w:jc w:val="both"/>
      </w:pPr>
    </w:p>
    <w:p w14:paraId="13E1C663">
      <w:pPr>
        <w:jc w:val="both"/>
      </w:pPr>
      <w:r>
        <w:rPr>
          <w:b/>
        </w:rPr>
        <w:t>5.13.</w:t>
      </w:r>
      <w:r>
        <w:t xml:space="preserve"> Cumprir com os prazos de entrega acordados junto à Secretaria solicitante dos materiais;</w:t>
      </w:r>
    </w:p>
    <w:p w14:paraId="57847A83">
      <w:pPr>
        <w:jc w:val="both"/>
      </w:pPr>
    </w:p>
    <w:p w14:paraId="105CD66C">
      <w:pPr>
        <w:jc w:val="both"/>
      </w:pPr>
      <w:r>
        <w:rPr>
          <w:rStyle w:val="207"/>
          <w:rFonts w:eastAsia="Calibri"/>
          <w:b/>
        </w:rPr>
        <w:t>5.14</w:t>
      </w:r>
      <w:r>
        <w:rPr>
          <w:rStyle w:val="207"/>
          <w:rFonts w:eastAsia="Calibri"/>
        </w:rPr>
        <w:t>. Realizar as entregas dos produtos no endereço fornecido pela Secretaria;</w:t>
      </w:r>
    </w:p>
    <w:p w14:paraId="4E6FB11F">
      <w:pPr>
        <w:jc w:val="both"/>
      </w:pPr>
      <w:r>
        <w:rPr>
          <w:rStyle w:val="207"/>
          <w:rFonts w:eastAsia="Calibri"/>
          <w:b/>
        </w:rPr>
        <w:t>5.15.</w:t>
      </w:r>
      <w:r>
        <w:rPr>
          <w:rStyle w:val="207"/>
          <w:rFonts w:eastAsia="Calibri"/>
        </w:rPr>
        <w:t xml:space="preserve"> Os produtos que se encontrarem em desconformidade com as condições exigidas, deverão ser substituídos num prazo de até 05 (cinco) dias a partir da data da solicitação da substituição dos mesmos.</w:t>
      </w:r>
      <w:r>
        <w:t xml:space="preserve"> </w:t>
      </w:r>
    </w:p>
    <w:p w14:paraId="2DEAC715">
      <w:pPr>
        <w:jc w:val="both"/>
        <w:rPr>
          <w:b/>
        </w:rPr>
      </w:pPr>
    </w:p>
    <w:p w14:paraId="22E43BC9">
      <w:pPr>
        <w:jc w:val="both"/>
        <w:rPr>
          <w:u w:val="single"/>
        </w:rPr>
      </w:pPr>
      <w:r>
        <w:rPr>
          <w:b/>
        </w:rPr>
        <w:t>5.16.</w:t>
      </w:r>
      <w:r>
        <w:t xml:space="preserve"> Prestar esclarecimentos que forem solicitados pelo Município, cujas reclamações se obriga a atender prontamente, bem como, oferecer</w:t>
      </w:r>
      <w:r>
        <w:rPr>
          <w:lang w:val="pt-PT"/>
        </w:rPr>
        <w:t xml:space="preserve"> condições para a mais ampla e completa fiscalização, durante a vigência deste Contrato, bem como de seu (s) aditivo (s), propiciando </w:t>
      </w:r>
      <w:r>
        <w:rPr>
          <w:u w:val="single"/>
          <w:lang w:val="pt-PT"/>
        </w:rPr>
        <w:t>o acesso à toda documentação pertinente (s) ao (s) fornecimento (s) dos produtos, atendendo às observações e exigências apresentadas pela fiscalização.</w:t>
      </w:r>
    </w:p>
    <w:p w14:paraId="28D6489D">
      <w:pPr>
        <w:jc w:val="both"/>
        <w:rPr>
          <w:lang w:val="pt-PT"/>
        </w:rPr>
      </w:pPr>
    </w:p>
    <w:p w14:paraId="3FAC8A86">
      <w:pPr>
        <w:jc w:val="both"/>
      </w:pPr>
      <w:r>
        <w:rPr>
          <w:b/>
        </w:rPr>
        <w:t>5.17.</w:t>
      </w:r>
      <w:r>
        <w:t xml:space="preserve"> A contratada se responsabilizará pela substituição dos produtos entregues</w:t>
      </w:r>
      <w:r>
        <w:rPr>
          <w:b/>
        </w:rPr>
        <w:t xml:space="preserve"> </w:t>
      </w:r>
      <w:r>
        <w:t>em que forem constatados defeitos de fabricação ou que se encontrarem em desacordo com as especificações constantes deste Edital e seus anexos, isentando este Município de quaisquer ônus financeiros adicionais;</w:t>
      </w:r>
    </w:p>
    <w:p w14:paraId="594B0833">
      <w:pPr>
        <w:jc w:val="both"/>
      </w:pPr>
    </w:p>
    <w:p w14:paraId="2E867E58">
      <w:pPr>
        <w:jc w:val="both"/>
      </w:pPr>
      <w:r>
        <w:rPr>
          <w:b/>
        </w:rPr>
        <w:t xml:space="preserve">5.18. </w:t>
      </w:r>
      <w:r>
        <w:t>A CONTRATADA tem a obrigação de atender as exigências de reserva de cargos prevista em lei, bem como em outras normas específicas, para pessoa com deficiência, para reabilitado da Previdência Social e para aprendiz; (Lei 14.133/2021 art. 92 – inciso XVII).</w:t>
      </w:r>
    </w:p>
    <w:p w14:paraId="3D382EA1">
      <w:pPr>
        <w:jc w:val="both"/>
      </w:pPr>
    </w:p>
    <w:p w14:paraId="78A9CC6F">
      <w:pPr>
        <w:tabs>
          <w:tab w:val="left" w:pos="3514"/>
        </w:tabs>
        <w:jc w:val="both"/>
      </w:pPr>
      <w:r>
        <w:rPr>
          <w:b/>
        </w:rPr>
        <w:t xml:space="preserve">5.19. </w:t>
      </w:r>
      <w:r>
        <w:t xml:space="preserve">Alocar profissionais altamente especializados para o desenvolvimento dos trabalhos. A qualquer tempo, a Fiscalização poderá solicitar a substituição de qualquer membro da equipe técnica da licitante vencedora, desde que entenda que seja benéfico ao desenvolvimento dos trabalhos. </w:t>
      </w:r>
    </w:p>
    <w:p w14:paraId="2514AFB1">
      <w:pPr>
        <w:tabs>
          <w:tab w:val="left" w:pos="3514"/>
        </w:tabs>
        <w:jc w:val="both"/>
      </w:pPr>
    </w:p>
    <w:p w14:paraId="25A4EC66">
      <w:pPr>
        <w:tabs>
          <w:tab w:val="left" w:pos="567"/>
        </w:tabs>
        <w:jc w:val="both"/>
      </w:pPr>
      <w:r>
        <w:rPr>
          <w:b/>
        </w:rPr>
        <w:t xml:space="preserve">5.20. </w:t>
      </w:r>
      <w: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1º de abril de 2021.</w:t>
      </w:r>
    </w:p>
    <w:p w14:paraId="430DC964">
      <w:pPr>
        <w:tabs>
          <w:tab w:val="left" w:pos="3514"/>
        </w:tabs>
        <w:jc w:val="both"/>
      </w:pPr>
    </w:p>
    <w:p w14:paraId="02F3CDFC">
      <w:pPr>
        <w:tabs>
          <w:tab w:val="left" w:pos="567"/>
        </w:tabs>
        <w:jc w:val="both"/>
      </w:pPr>
      <w:r>
        <w:rPr>
          <w:b/>
        </w:rPr>
        <w:t xml:space="preserve">5.21. </w:t>
      </w:r>
      <w:r>
        <w:t>Receber e dar o tratamento adequado a denúncias de discriminação, violência e assédio no ambiente de trabalho.</w:t>
      </w:r>
    </w:p>
    <w:p w14:paraId="5E31E90E">
      <w:pPr>
        <w:jc w:val="both"/>
      </w:pPr>
    </w:p>
    <w:p w14:paraId="3BC693E2">
      <w:pPr>
        <w:jc w:val="both"/>
      </w:pPr>
      <w:r>
        <w:rPr>
          <w:b/>
        </w:rPr>
        <w:t>CLÁUSULA SEXTA – SUBCONTRATAÇÃO</w:t>
      </w:r>
      <w:r>
        <w:t xml:space="preserve"> </w:t>
      </w:r>
    </w:p>
    <w:p w14:paraId="4C240EC1">
      <w:pPr>
        <w:jc w:val="both"/>
      </w:pPr>
    </w:p>
    <w:p w14:paraId="0E7BFA19">
      <w:pPr>
        <w:pStyle w:val="72"/>
        <w:spacing w:before="240" w:after="240" w:line="360" w:lineRule="auto"/>
        <w:ind w:left="0"/>
        <w:contextualSpacing w:val="0"/>
        <w:jc w:val="both"/>
        <w:rPr>
          <w:highlight w:val="yellow"/>
        </w:rPr>
      </w:pPr>
      <w:r>
        <w:rPr>
          <w:b/>
        </w:rPr>
        <w:t>6.1.</w:t>
      </w:r>
      <w:r>
        <w:t xml:space="preserve"> Não será admitida subcontratação do objeto no que tange a operação do sistema, pertinente a manutenção corretiva e preventiva. A contratada deverá executar integralmente os serviços e fornecer os equipamentos com seus próprios recursos e equipe, assumindo total responsabilidade pela operação de serviço.</w:t>
      </w:r>
    </w:p>
    <w:p w14:paraId="1E56F129">
      <w:pPr>
        <w:jc w:val="both"/>
      </w:pPr>
    </w:p>
    <w:p w14:paraId="086E6CB8">
      <w:pPr>
        <w:jc w:val="both"/>
      </w:pPr>
    </w:p>
    <w:p w14:paraId="0F4D7283">
      <w:pPr>
        <w:jc w:val="both"/>
      </w:pPr>
      <w:r>
        <w:rPr>
          <w:b/>
          <w:color w:val="000000"/>
        </w:rPr>
        <w:t>CLÁUSULA SÉTIMA – DA EXECUÇÃO DO CONTRATO E DO RECEBIMENTO DOS PRODUTOS:</w:t>
      </w:r>
    </w:p>
    <w:p w14:paraId="292ED0C0">
      <w:pPr>
        <w:ind w:right="-5"/>
        <w:jc w:val="both"/>
        <w:rPr>
          <w:b/>
          <w:color w:val="000000"/>
        </w:rPr>
      </w:pPr>
    </w:p>
    <w:p w14:paraId="040B2255">
      <w:pPr>
        <w:ind w:right="-5"/>
        <w:jc w:val="both"/>
      </w:pPr>
      <w:r>
        <w:rPr>
          <w:rStyle w:val="207"/>
          <w:b/>
        </w:rPr>
        <w:t>7.1.</w:t>
      </w:r>
      <w:r>
        <w:rPr>
          <w:rStyle w:val="207"/>
        </w:rPr>
        <w:t xml:space="preserve"> O contrato deverá ser executado fielmente pelas partes, de acordo com Cláusulas contratuais e as normas da Lei 14.133/21, respondendo cada uma pelas consequências de sua inexecução total ou parcial.</w:t>
      </w:r>
    </w:p>
    <w:p w14:paraId="7AB92EC8">
      <w:pPr>
        <w:ind w:right="-5"/>
        <w:jc w:val="both"/>
      </w:pPr>
      <w:r>
        <w:rPr>
          <w:b/>
        </w:rPr>
        <w:t>7.2.</w:t>
      </w:r>
      <w:r>
        <w:t xml:space="preserve"> O recebimento do objeto deste contrato ocorrerá de acordo com as condições estabelecidas no Termo de Referência.</w:t>
      </w:r>
    </w:p>
    <w:p w14:paraId="3EC701BD">
      <w:pPr>
        <w:jc w:val="both"/>
        <w:rPr>
          <w:rStyle w:val="207"/>
        </w:rPr>
      </w:pPr>
      <w:r>
        <w:rPr>
          <w:rStyle w:val="207"/>
          <w:b/>
        </w:rPr>
        <w:t>7.3.</w:t>
      </w:r>
      <w:r>
        <w:rPr>
          <w:rStyle w:val="207"/>
        </w:rPr>
        <w:t xml:space="preserve"> A solicitação dos produtos será feita pela </w:t>
      </w:r>
      <w:r>
        <w:rPr>
          <w:rStyle w:val="207"/>
          <w:b/>
        </w:rPr>
        <w:t>CONTRATANTE</w:t>
      </w:r>
      <w:r>
        <w:rPr>
          <w:rStyle w:val="207"/>
        </w:rPr>
        <w:t xml:space="preserve"> à </w:t>
      </w:r>
      <w:r>
        <w:rPr>
          <w:rStyle w:val="207"/>
          <w:b/>
        </w:rPr>
        <w:t>CONTRATADA</w:t>
      </w:r>
      <w:r>
        <w:rPr>
          <w:rStyle w:val="207"/>
        </w:rPr>
        <w:t>, após a assinatura deste Contrato, mediante Ordem de Fornecimento ou instrumento equivalente e de forma parcelada;</w:t>
      </w:r>
    </w:p>
    <w:p w14:paraId="739A853A">
      <w:pPr>
        <w:jc w:val="both"/>
        <w:rPr>
          <w:rStyle w:val="207"/>
        </w:rPr>
      </w:pPr>
    </w:p>
    <w:p w14:paraId="09F5EC8C">
      <w:pPr>
        <w:ind w:right="-5"/>
        <w:jc w:val="both"/>
      </w:pPr>
      <w:r>
        <w:rPr>
          <w:b/>
        </w:rPr>
        <w:t>7.4.</w:t>
      </w:r>
      <w:r>
        <w:t xml:space="preserve"> O objeto licitado deverá ser entregue de acordo com as regras específicas fixadas no presente edital e seus anexos na Ordem de Fornecimento ou instrumento equivalente</w:t>
      </w:r>
      <w:r>
        <w:rPr>
          <w:rStyle w:val="207"/>
        </w:rPr>
        <w:t xml:space="preserve"> emitido pela Secretaria solicitante, </w:t>
      </w:r>
      <w:r>
        <w:t>de acordo termo de referência</w:t>
      </w:r>
      <w:r>
        <w:rPr>
          <w:rStyle w:val="207"/>
        </w:rPr>
        <w:t>;</w:t>
      </w:r>
    </w:p>
    <w:p w14:paraId="3A806EAE">
      <w:pPr>
        <w:ind w:right="-5"/>
        <w:jc w:val="both"/>
        <w:rPr>
          <w:b/>
        </w:rPr>
      </w:pPr>
    </w:p>
    <w:p w14:paraId="6C22EF69">
      <w:pPr>
        <w:autoSpaceDE w:val="0"/>
        <w:jc w:val="both"/>
        <w:rPr>
          <w:rStyle w:val="207"/>
        </w:rPr>
      </w:pPr>
      <w:r>
        <w:rPr>
          <w:rStyle w:val="207"/>
          <w:b/>
        </w:rPr>
        <w:t>7.5.</w:t>
      </w:r>
      <w:r>
        <w:rPr>
          <w:rStyle w:val="207"/>
        </w:rPr>
        <w:t xml:space="preserve"> O prazo para entrega do objeto licitado no local indicado pelo Município de Rondonópolis dentro do perímetro urbano será de termo de referência, contados a partir do dia útil seguinte à data do recebimento da ordem de entrega, ou instrumento equivalente. Salvo se houver pedido formal de prorrogação deste, devidamente justificado pela licitante/contratada e acatado pela Secretaria demandante.</w:t>
      </w:r>
    </w:p>
    <w:p w14:paraId="1347860F">
      <w:pPr>
        <w:autoSpaceDE w:val="0"/>
        <w:jc w:val="both"/>
        <w:rPr>
          <w:rStyle w:val="207"/>
        </w:rPr>
      </w:pPr>
    </w:p>
    <w:p w14:paraId="39EEAB1E">
      <w:pPr>
        <w:autoSpaceDE w:val="0"/>
        <w:jc w:val="both"/>
        <w:rPr>
          <w:rStyle w:val="207"/>
        </w:rPr>
      </w:pPr>
      <w:r>
        <w:rPr>
          <w:rStyle w:val="207"/>
          <w:b/>
        </w:rPr>
        <w:t xml:space="preserve">7.5.1. </w:t>
      </w:r>
      <w:r>
        <w:rPr>
          <w:rStyle w:val="207"/>
        </w:rPr>
        <w:t>O fornecimento do referido objeto deverá atender as normas técnicas contidas nas especificações do Edital e seus anexos, a entrega será de forma fracionada, conforme demanda através de solicitação devidamente identificada local de entrega, nome da pessoa da Secretaria demandante que está solicitando com telefone para contato.</w:t>
      </w:r>
    </w:p>
    <w:p w14:paraId="1427642F">
      <w:pPr>
        <w:autoSpaceDE w:val="0"/>
        <w:jc w:val="both"/>
        <w:rPr>
          <w:rStyle w:val="207"/>
        </w:rPr>
      </w:pPr>
    </w:p>
    <w:p w14:paraId="463B2116">
      <w:pPr>
        <w:autoSpaceDE w:val="0"/>
        <w:jc w:val="both"/>
        <w:rPr>
          <w:rStyle w:val="207"/>
        </w:rPr>
      </w:pPr>
      <w:r>
        <w:rPr>
          <w:rStyle w:val="207"/>
          <w:b/>
        </w:rPr>
        <w:t xml:space="preserve">7.5.2 </w:t>
      </w:r>
      <w:r>
        <w:rPr>
          <w:rStyle w:val="207"/>
        </w:rPr>
        <w:t>Havendo causa impeditiva para o cumprimento dos prazos, a CONTRATADA deverá apresentar justificativa por escrito ao fiscal do contrato, indicando o prazo necessário, que por sua vez analisará e tomará as necessárias providências para a aceitação ou não das justificativas apresentadas.</w:t>
      </w:r>
    </w:p>
    <w:p w14:paraId="657123CE">
      <w:pPr>
        <w:ind w:right="-5"/>
        <w:jc w:val="both"/>
      </w:pPr>
    </w:p>
    <w:p w14:paraId="4077755F">
      <w:pPr>
        <w:jc w:val="both"/>
      </w:pPr>
      <w:r>
        <w:rPr>
          <w:b/>
        </w:rPr>
        <w:t>7.6.</w:t>
      </w:r>
      <w:r>
        <w:t xml:space="preserve"> </w:t>
      </w:r>
      <w:r>
        <w:rPr>
          <w:rStyle w:val="207"/>
        </w:rPr>
        <w:t xml:space="preserve">Local de entrega: </w:t>
      </w:r>
      <w:r>
        <w:t>Os produtos serão entregues de acordo o termo de referência.</w:t>
      </w:r>
    </w:p>
    <w:p w14:paraId="41DE87B1">
      <w:pPr>
        <w:jc w:val="both"/>
      </w:pPr>
    </w:p>
    <w:p w14:paraId="11086466">
      <w:pPr>
        <w:jc w:val="both"/>
      </w:pPr>
      <w:r>
        <w:rPr>
          <w:b/>
        </w:rPr>
        <w:t>7.7.</w:t>
      </w:r>
      <w:r>
        <w:t xml:space="preserve"> Os produtos licitados serão recebidos provisoriamente, para posterior verificação da qualidade, quantidade, validade, </w:t>
      </w:r>
      <w:r>
        <w:rPr>
          <w:b/>
        </w:rPr>
        <w:t>conformidade com a especificação</w:t>
      </w:r>
      <w:r>
        <w:t xml:space="preserve"> solicitada e preço;</w:t>
      </w:r>
    </w:p>
    <w:p w14:paraId="0A006165">
      <w:pPr>
        <w:jc w:val="both"/>
      </w:pPr>
    </w:p>
    <w:p w14:paraId="4BA505FB">
      <w:pPr>
        <w:jc w:val="both"/>
      </w:pPr>
      <w:r>
        <w:rPr>
          <w:b/>
        </w:rPr>
        <w:t>7.8.</w:t>
      </w:r>
      <w:r>
        <w:t xml:space="preserve"> A aceitação definitiva dar-se-á em até </w:t>
      </w:r>
      <w:r>
        <w:rPr>
          <w:rStyle w:val="207"/>
        </w:rPr>
        <w:t>05 (cinco) dias</w:t>
      </w:r>
      <w:r>
        <w:t>, após recebimento provisório, quando a Nota Fiscal será atestada por servidor/comissão devidamente credenciado para este fim e liberado o canhoto de recebimento;</w:t>
      </w:r>
    </w:p>
    <w:p w14:paraId="14E3410F">
      <w:pPr>
        <w:jc w:val="both"/>
        <w:rPr>
          <w:b/>
        </w:rPr>
      </w:pPr>
    </w:p>
    <w:p w14:paraId="6D438BE0">
      <w:pPr>
        <w:jc w:val="both"/>
        <w:rPr>
          <w:b/>
        </w:rPr>
      </w:pPr>
      <w:r>
        <w:rPr>
          <w:b/>
        </w:rPr>
        <w:t>7.9. O aceite/aprovação do (s) produto (s) pela (s) Secretaria (s) solicitante (s) não exclui a responsabilidade civil do fornecedor por vícios de quantidade ou qualidade do(s) produto(s) ou disparidades com as especificações estabelecidas no Anexo Itens do Pregão, verificadas, posteriormente, garantindo-se ao órgão licitante as faculdades previstas no art. 18 da Lei n.º 8.078/90;</w:t>
      </w:r>
    </w:p>
    <w:p w14:paraId="535A0FC1">
      <w:pPr>
        <w:jc w:val="both"/>
      </w:pPr>
    </w:p>
    <w:p w14:paraId="411B30DC">
      <w:pPr>
        <w:jc w:val="both"/>
      </w:pPr>
      <w:r>
        <w:rPr>
          <w:b/>
        </w:rPr>
        <w:t>7.10.</w:t>
      </w:r>
      <w:r>
        <w:t xml:space="preserve"> Não será admitida a entrega dos materiais pela Contratada sem que esta esteja de posse da Ordem de Fornecimento ou instrumento equivalente.</w:t>
      </w:r>
    </w:p>
    <w:p w14:paraId="4B2E4848"/>
    <w:p w14:paraId="4997BC43">
      <w:pPr>
        <w:ind w:right="-5"/>
        <w:jc w:val="both"/>
      </w:pPr>
      <w:r>
        <w:rPr>
          <w:b/>
        </w:rPr>
        <w:t>7.11.</w:t>
      </w:r>
      <w:r>
        <w:t xml:space="preserve"> Constatadas irregularidades nas entregas do objeto contratual, o Órgão Licitante poderá: </w:t>
      </w:r>
    </w:p>
    <w:p w14:paraId="5D1E2277">
      <w:pPr>
        <w:ind w:left="426" w:right="-5"/>
        <w:jc w:val="both"/>
        <w:rPr>
          <w:b/>
        </w:rPr>
      </w:pPr>
    </w:p>
    <w:p w14:paraId="681D1E0C">
      <w:pPr>
        <w:ind w:left="426" w:right="-5"/>
        <w:jc w:val="both"/>
      </w:pPr>
      <w:r>
        <w:rPr>
          <w:b/>
        </w:rPr>
        <w:t>7.11.1.</w:t>
      </w:r>
      <w:r>
        <w:t xml:space="preserve"> Em relação à especificação técnicas, rejeitá-lo no todo ou em parte, determinando sua substituição, ou rescindindo a contratação, sem prejuízo das penalidades cabíveis; </w:t>
      </w:r>
    </w:p>
    <w:p w14:paraId="4016A500">
      <w:pPr>
        <w:pStyle w:val="24"/>
        <w:jc w:val="both"/>
        <w:rPr>
          <w:b/>
          <w:sz w:val="22"/>
          <w:szCs w:val="22"/>
        </w:rPr>
      </w:pPr>
    </w:p>
    <w:p w14:paraId="3FC4C765">
      <w:pPr>
        <w:pStyle w:val="24"/>
        <w:jc w:val="both"/>
        <w:rPr>
          <w:sz w:val="22"/>
          <w:szCs w:val="22"/>
        </w:rPr>
      </w:pPr>
      <w:r>
        <w:rPr>
          <w:b/>
          <w:sz w:val="22"/>
          <w:szCs w:val="22"/>
        </w:rPr>
        <w:t>7.12.</w:t>
      </w:r>
      <w:r>
        <w:rPr>
          <w:sz w:val="22"/>
          <w:szCs w:val="22"/>
        </w:rPr>
        <w:t xml:space="preserve"> O fornecedor de produtos responde pelos vícios de qualidade que os tornem impróprios ao consumo ou lhes diminuam o valor, assim como por aqueles decorrentes da disparidade com as indicações constantes da oferta ou mensagem publicitária, podendo o consumidor exigir, alternativamente e à sua escolha, (art. 20 da Lei n.º 8.078/90 - Código de Defesa do Consumidor):</w:t>
      </w:r>
    </w:p>
    <w:p w14:paraId="7B2231B9">
      <w:pPr>
        <w:pStyle w:val="24"/>
        <w:jc w:val="both"/>
        <w:rPr>
          <w:sz w:val="22"/>
          <w:szCs w:val="22"/>
        </w:rPr>
      </w:pPr>
    </w:p>
    <w:p w14:paraId="69DA83B6">
      <w:pPr>
        <w:shd w:val="clear" w:color="auto" w:fill="FFFFFF"/>
        <w:ind w:left="426"/>
        <w:jc w:val="both"/>
      </w:pPr>
      <w:r>
        <w:rPr>
          <w:b/>
        </w:rPr>
        <w:t>7.10.1. I -</w:t>
      </w:r>
      <w:r>
        <w:t xml:space="preserve"> a reexecução dos serviços, sem custo adicional e quando cabível;  </w:t>
      </w:r>
    </w:p>
    <w:p w14:paraId="7EFBC08B">
      <w:pPr>
        <w:shd w:val="clear" w:color="auto" w:fill="FFFFFF"/>
        <w:ind w:left="426"/>
        <w:jc w:val="both"/>
      </w:pPr>
      <w:r>
        <w:rPr>
          <w:b/>
        </w:rPr>
        <w:t>7.10.2. II -</w:t>
      </w:r>
      <w:r>
        <w:t xml:space="preserve"> a restituição imediata da quantia paga, monetariamente atualizada, sem prejuízo de eventuais perdas e danos;  </w:t>
      </w:r>
    </w:p>
    <w:p w14:paraId="1B169620">
      <w:pPr>
        <w:shd w:val="clear" w:color="auto" w:fill="FFFFFF"/>
        <w:ind w:left="426"/>
        <w:jc w:val="both"/>
      </w:pPr>
      <w:r>
        <w:rPr>
          <w:b/>
        </w:rPr>
        <w:t>7.10.3. III -</w:t>
      </w:r>
      <w:r>
        <w:t xml:space="preserve"> o abatimento proporcional do preço.   </w:t>
      </w:r>
    </w:p>
    <w:p w14:paraId="4C8A0664">
      <w:pPr>
        <w:shd w:val="clear" w:color="auto" w:fill="FFFFFF"/>
        <w:ind w:left="426"/>
        <w:jc w:val="both"/>
      </w:pPr>
      <w:r>
        <w:rPr>
          <w:b/>
        </w:rPr>
        <w:t>7.10.4. § 1º</w:t>
      </w:r>
      <w:r>
        <w:t xml:space="preserve"> A reexecução dos serviços poderá ser confiada a terceiros devidamente capacitados, por conta e risco do fornecedor.   </w:t>
      </w:r>
    </w:p>
    <w:p w14:paraId="66241014">
      <w:pPr>
        <w:shd w:val="clear" w:color="auto" w:fill="FFFFFF"/>
        <w:ind w:left="426"/>
        <w:jc w:val="both"/>
      </w:pPr>
      <w:r>
        <w:rPr>
          <w:b/>
        </w:rPr>
        <w:t>7.10.5. § 2º</w:t>
      </w:r>
      <w:r>
        <w:t xml:space="preserve"> São impróprios os serviços que se mostrem inadequados para os fins que razoavelmente deles se esperam, bem como aqueles que não atendam as normas regulamentares de prestabilidade.</w:t>
      </w:r>
    </w:p>
    <w:p w14:paraId="1089C2BC">
      <w:pPr>
        <w:shd w:val="clear" w:color="auto" w:fill="FFFFFF"/>
        <w:ind w:left="426"/>
        <w:jc w:val="both"/>
      </w:pPr>
    </w:p>
    <w:p w14:paraId="10005641">
      <w:pPr>
        <w:autoSpaceDE w:val="0"/>
        <w:jc w:val="both"/>
      </w:pPr>
      <w:r>
        <w:rPr>
          <w:b/>
        </w:rPr>
        <w:t>7.13.</w:t>
      </w:r>
      <w:r>
        <w:t xml:space="preserve"> </w:t>
      </w:r>
      <w:r>
        <w:rPr>
          <w:rStyle w:val="207"/>
        </w:rPr>
        <w:t>Os produtos que forem recusados no recebimento provisório deverão ser substituídos no prazo máximo de até 05 (cinco) dias úteis, contados da data de notificação apresentada à fornecedora, salvo quando justificado a necessidade de prazo maior pela licitante/contratada, sem prejuízo para o disposto nos artigos 441 a 446 do Código Civil;</w:t>
      </w:r>
    </w:p>
    <w:p w14:paraId="77F9B8AD">
      <w:pPr>
        <w:jc w:val="both"/>
        <w:rPr>
          <w:b/>
        </w:rPr>
      </w:pPr>
    </w:p>
    <w:p w14:paraId="422EC679">
      <w:pPr>
        <w:ind w:right="-5"/>
        <w:jc w:val="both"/>
      </w:pPr>
      <w:r>
        <w:rPr>
          <w:rStyle w:val="207"/>
          <w:rFonts w:eastAsia="Calibri"/>
          <w:b/>
        </w:rPr>
        <w:t>CLÁUSULA OITAVA – DAS OBRIGAÇÕES DA CONTRATANTE:</w:t>
      </w:r>
    </w:p>
    <w:p w14:paraId="1780F317">
      <w:pPr>
        <w:ind w:right="-5"/>
        <w:jc w:val="both"/>
      </w:pPr>
    </w:p>
    <w:p w14:paraId="48FA78BF">
      <w:pPr>
        <w:ind w:right="-5"/>
        <w:jc w:val="both"/>
      </w:pPr>
      <w:r>
        <w:rPr>
          <w:rStyle w:val="207"/>
          <w:rFonts w:eastAsia="Calibri"/>
          <w:b/>
        </w:rPr>
        <w:t>8.1.</w:t>
      </w:r>
      <w:r>
        <w:rPr>
          <w:rStyle w:val="207"/>
          <w:rFonts w:eastAsia="Calibri"/>
        </w:rPr>
        <w:t xml:space="preserve"> Constituem obrigações da </w:t>
      </w:r>
      <w:r>
        <w:rPr>
          <w:rStyle w:val="207"/>
          <w:rFonts w:eastAsia="Calibri"/>
          <w:b/>
        </w:rPr>
        <w:t>CONTRATANTE</w:t>
      </w:r>
      <w:r>
        <w:rPr>
          <w:rStyle w:val="207"/>
          <w:rFonts w:eastAsia="Calibri"/>
        </w:rPr>
        <w:t xml:space="preserve">: </w:t>
      </w:r>
    </w:p>
    <w:p w14:paraId="4BF7047D">
      <w:pPr>
        <w:ind w:right="-5"/>
        <w:jc w:val="both"/>
      </w:pPr>
    </w:p>
    <w:p w14:paraId="5E7405BA">
      <w:pPr>
        <w:ind w:right="-5"/>
        <w:jc w:val="both"/>
      </w:pPr>
      <w:r>
        <w:rPr>
          <w:rStyle w:val="207"/>
          <w:rFonts w:eastAsia="Calibri"/>
          <w:b/>
        </w:rPr>
        <w:t>8.2.</w:t>
      </w:r>
      <w:r>
        <w:rPr>
          <w:rStyle w:val="207"/>
          <w:rFonts w:eastAsia="Calibri"/>
        </w:rPr>
        <w:t xml:space="preserve"> Cumprir todos os compromissos financeiros assumidos com a contratada, efetuando os pagamentos de acordo com a Cláusula Décima deste Contrato.</w:t>
      </w:r>
    </w:p>
    <w:p w14:paraId="240C9401">
      <w:pPr>
        <w:ind w:right="-5"/>
        <w:jc w:val="both"/>
      </w:pPr>
    </w:p>
    <w:p w14:paraId="11969F44">
      <w:pPr>
        <w:ind w:right="-5"/>
        <w:jc w:val="both"/>
      </w:pPr>
      <w:r>
        <w:rPr>
          <w:rStyle w:val="207"/>
          <w:rFonts w:eastAsia="Calibri"/>
          <w:b/>
        </w:rPr>
        <w:t>8.3.</w:t>
      </w:r>
      <w:r>
        <w:rPr>
          <w:rStyle w:val="207"/>
          <w:rFonts w:eastAsia="Calibri"/>
        </w:rPr>
        <w:t xml:space="preserve"> Fornecer e colocar à disposição da </w:t>
      </w:r>
      <w:r>
        <w:rPr>
          <w:rStyle w:val="207"/>
          <w:rFonts w:eastAsia="Calibri"/>
          <w:b/>
        </w:rPr>
        <w:t>CONTRATADA</w:t>
      </w:r>
      <w:r>
        <w:rPr>
          <w:rStyle w:val="207"/>
          <w:rFonts w:eastAsia="Calibri"/>
        </w:rPr>
        <w:t xml:space="preserve"> todos os elementos e informações que se fizerem necessários ao efetivo cumprimento do objeto contratado. </w:t>
      </w:r>
    </w:p>
    <w:p w14:paraId="5A68B052">
      <w:pPr>
        <w:ind w:right="-5"/>
        <w:jc w:val="both"/>
      </w:pPr>
    </w:p>
    <w:p w14:paraId="7D41119A">
      <w:pPr>
        <w:ind w:right="-5"/>
        <w:jc w:val="both"/>
      </w:pPr>
      <w:r>
        <w:rPr>
          <w:rStyle w:val="207"/>
          <w:rFonts w:eastAsia="Calibri"/>
          <w:b/>
        </w:rPr>
        <w:t>8.4.</w:t>
      </w:r>
      <w:r>
        <w:rPr>
          <w:rStyle w:val="207"/>
          <w:rFonts w:eastAsia="Calibri"/>
        </w:rPr>
        <w:t xml:space="preserve"> Notificar, formal e tempestivamente, a contratada sobre as irregularidades observadas no cumprimento do objeto.</w:t>
      </w:r>
    </w:p>
    <w:p w14:paraId="444D3CA7">
      <w:pPr>
        <w:ind w:right="-5"/>
        <w:jc w:val="both"/>
      </w:pPr>
    </w:p>
    <w:p w14:paraId="621CA84F">
      <w:pPr>
        <w:ind w:right="-5"/>
        <w:jc w:val="both"/>
      </w:pPr>
      <w:r>
        <w:rPr>
          <w:rStyle w:val="207"/>
          <w:rFonts w:eastAsia="Calibri"/>
          <w:b/>
        </w:rPr>
        <w:t>8.5.</w:t>
      </w:r>
      <w:r>
        <w:rPr>
          <w:rStyle w:val="207"/>
          <w:rFonts w:eastAsia="Calibri"/>
        </w:rPr>
        <w:t xml:space="preserve"> Notificar a contratada, por escrito e com antecedência, sobre multas, penalidades e quaisquer débitos de sua responsabilidade. </w:t>
      </w:r>
    </w:p>
    <w:p w14:paraId="0071D025">
      <w:pPr>
        <w:ind w:right="-5"/>
        <w:jc w:val="both"/>
      </w:pPr>
    </w:p>
    <w:p w14:paraId="294ACF12">
      <w:pPr>
        <w:ind w:right="-5"/>
        <w:jc w:val="both"/>
      </w:pPr>
      <w:r>
        <w:rPr>
          <w:rStyle w:val="207"/>
          <w:rFonts w:eastAsia="Calibri"/>
          <w:b/>
        </w:rPr>
        <w:t>8.6.</w:t>
      </w:r>
      <w:r>
        <w:rPr>
          <w:rStyle w:val="207"/>
          <w:rFonts w:eastAsia="Calibri"/>
        </w:rPr>
        <w:t xml:space="preserve"> Acompanhar a entrega dos itens licitados pela contratada, podendo intervir durante a sua entrega, para fins de ajustes ou suspensão do fornecimento. </w:t>
      </w:r>
    </w:p>
    <w:p w14:paraId="35F69EC9">
      <w:pPr>
        <w:autoSpaceDE w:val="0"/>
        <w:jc w:val="both"/>
      </w:pPr>
    </w:p>
    <w:p w14:paraId="513661AB">
      <w:pPr>
        <w:autoSpaceDE w:val="0"/>
        <w:jc w:val="both"/>
      </w:pPr>
      <w:r>
        <w:rPr>
          <w:b/>
        </w:rPr>
        <w:t>8.7.</w:t>
      </w:r>
      <w:r>
        <w:t xml:space="preserve"> Fiscalizar a execução do objeto contratual através de sua unidade competente que designará um representante para esse fim fiscal do contrato, podendo, em decorrência, solicitar providências da contratada, que atenderá ou justificará de imediato, e de tudo dará ciência à Administração, conforme art. 117 da Lei nº 14.133/2021. </w:t>
      </w:r>
    </w:p>
    <w:p w14:paraId="2E4DBAC8">
      <w:pPr>
        <w:tabs>
          <w:tab w:val="left" w:pos="1800"/>
        </w:tabs>
        <w:autoSpaceDE w:val="0"/>
        <w:jc w:val="both"/>
      </w:pPr>
      <w:r>
        <w:tab/>
      </w:r>
    </w:p>
    <w:p w14:paraId="77036671">
      <w:pPr>
        <w:autoSpaceDE w:val="0"/>
        <w:jc w:val="both"/>
      </w:pPr>
      <w:r>
        <w:rPr>
          <w:b/>
        </w:rPr>
        <w:t xml:space="preserve">8.7.1. </w:t>
      </w:r>
      <w:r>
        <w:t>O gestor do contrato (secretário da pasta solicitante da demanda) deverá nomear, via Portaria Interna e publicar no DIORONDON, o servidor responsável pelo acompanhamento e fiscalização da execução do objeto contrato, bem como, o pagamento da nota fiscal referente à entrega do produto realizado pelo contratado será condicionado à apresentação do relatório do Fiscal do contrato. (conf. Recomendação Técnica nº21/2014)</w:t>
      </w:r>
    </w:p>
    <w:p w14:paraId="587DEA72">
      <w:pPr>
        <w:autoSpaceDE w:val="0"/>
        <w:jc w:val="both"/>
        <w:rPr>
          <w:b/>
        </w:rPr>
      </w:pPr>
    </w:p>
    <w:p w14:paraId="7197F8BE">
      <w:pPr>
        <w:autoSpaceDE w:val="0"/>
        <w:jc w:val="both"/>
      </w:pPr>
      <w:r>
        <w:rPr>
          <w:b/>
        </w:rPr>
        <w:t>8.8.</w:t>
      </w:r>
      <w:r>
        <w:t xml:space="preserve"> A fiscalização de que trata o subitem acima não exclui nem reduz a responsabilidade da contratada pelos danos causados diretamente à contratante ou a terceiros, decorrentes de sua culpa ou dolo na execução da contratação.</w:t>
      </w:r>
    </w:p>
    <w:p w14:paraId="6E2E8F5A">
      <w:pPr>
        <w:ind w:right="-5"/>
        <w:jc w:val="both"/>
      </w:pPr>
    </w:p>
    <w:p w14:paraId="0B3E5321">
      <w:pPr>
        <w:jc w:val="both"/>
      </w:pPr>
      <w:r>
        <w:rPr>
          <w:b/>
          <w:bCs/>
        </w:rPr>
        <w:t>8.9.</w:t>
      </w:r>
      <w:r>
        <w:rPr>
          <w:bCs/>
        </w:rPr>
        <w:t xml:space="preserve">  </w:t>
      </w:r>
      <w:r>
        <w:t xml:space="preserve">Aplicar as sanções administrativas contratuais pertinentes, em caso de inadimplemento; </w:t>
      </w:r>
    </w:p>
    <w:p w14:paraId="7107CDF6">
      <w:pPr>
        <w:jc w:val="both"/>
      </w:pPr>
    </w:p>
    <w:p w14:paraId="53754051">
      <w:pPr>
        <w:ind w:right="-5"/>
        <w:jc w:val="both"/>
      </w:pPr>
      <w:r>
        <w:rPr>
          <w:b/>
        </w:rPr>
        <w:t xml:space="preserve">8.10. </w:t>
      </w:r>
      <w:r>
        <w:t xml:space="preserve"> Rejeitar, no todo ou em parte, os materiais/serviços entregues em desacordo com o contrato; </w:t>
      </w:r>
    </w:p>
    <w:p w14:paraId="54313745">
      <w:pPr>
        <w:ind w:right="-5"/>
        <w:jc w:val="both"/>
        <w:rPr>
          <w:b/>
        </w:rPr>
      </w:pPr>
    </w:p>
    <w:p w14:paraId="7F2235B8">
      <w:pPr>
        <w:jc w:val="both"/>
      </w:pPr>
      <w:r>
        <w:rPr>
          <w:rStyle w:val="207"/>
          <w:rFonts w:eastAsia="Calibri"/>
          <w:b/>
        </w:rPr>
        <w:t xml:space="preserve">CLÁUSULA NONA – DA DOTAÇÃO ORÇAMENTÁRIA: </w:t>
      </w:r>
    </w:p>
    <w:p w14:paraId="5E73C403">
      <w:pPr>
        <w:jc w:val="both"/>
      </w:pPr>
    </w:p>
    <w:p w14:paraId="1A337DC9">
      <w:r>
        <w:rPr>
          <w:b/>
        </w:rPr>
        <w:t>9.1.</w:t>
      </w:r>
      <w:r>
        <w:t xml:space="preserve"> As despesas decorrentes da presente contratação correrão à conta de recursos específicos consignados no Orçamento deste exercício:</w:t>
      </w:r>
    </w:p>
    <w:p w14:paraId="446D4191"/>
    <w:tbl>
      <w:tblPr>
        <w:tblStyle w:val="12"/>
        <w:tblW w:w="0" w:type="auto"/>
        <w:tblInd w:w="973"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796"/>
        <w:gridCol w:w="5661"/>
      </w:tblGrid>
      <w:tr w14:paraId="0B9CFD82">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gridSpan w:val="2"/>
          </w:tcPr>
          <w:p w14:paraId="778D87BB">
            <w:pPr>
              <w:widowControl w:val="0"/>
              <w:jc w:val="center"/>
              <w:rPr>
                <w:b/>
              </w:rPr>
            </w:pPr>
            <w:r>
              <w:rPr>
                <w:b/>
              </w:rPr>
              <w:t>SECRETARIA MUNICIPAL DE TRANSPORTE E TRÂNSITO – PREVISÃO PARA ESTA DESPESA 2025</w:t>
            </w:r>
          </w:p>
        </w:tc>
      </w:tr>
      <w:tr w14:paraId="17A73E0D">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20B61F59">
            <w:pPr>
              <w:widowControl w:val="0"/>
            </w:pPr>
            <w:r>
              <w:t>Órgão</w:t>
            </w:r>
          </w:p>
        </w:tc>
        <w:tc>
          <w:tcPr>
            <w:tcW w:w="0" w:type="auto"/>
          </w:tcPr>
          <w:p w14:paraId="05DD58E0">
            <w:pPr>
              <w:widowControl w:val="0"/>
            </w:pPr>
            <w:r>
              <w:t>02 – Prefeitura Municipal de Rondonópolis</w:t>
            </w:r>
          </w:p>
        </w:tc>
      </w:tr>
      <w:tr w14:paraId="086EBF1B">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060446CD">
            <w:pPr>
              <w:widowControl w:val="0"/>
            </w:pPr>
            <w:r>
              <w:t>Unidade</w:t>
            </w:r>
          </w:p>
        </w:tc>
        <w:tc>
          <w:tcPr>
            <w:tcW w:w="0" w:type="auto"/>
          </w:tcPr>
          <w:p w14:paraId="6D1CE449">
            <w:pPr>
              <w:widowControl w:val="0"/>
            </w:pPr>
            <w:r>
              <w:t>006 – Secretaria Municipal de Transporte e Trânsito</w:t>
            </w:r>
          </w:p>
        </w:tc>
      </w:tr>
      <w:tr w14:paraId="63271C01">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1BA62895">
            <w:pPr>
              <w:widowControl w:val="0"/>
            </w:pPr>
            <w:r>
              <w:t xml:space="preserve">Funcional Programática </w:t>
            </w:r>
          </w:p>
        </w:tc>
        <w:tc>
          <w:tcPr>
            <w:tcW w:w="0" w:type="auto"/>
          </w:tcPr>
          <w:p w14:paraId="506F9154">
            <w:pPr>
              <w:widowControl w:val="0"/>
            </w:pPr>
            <w:r>
              <w:t xml:space="preserve">26.451.2105.2096 - SINALIZAÇÃO HORIZONTAL E VERTICAL  </w:t>
            </w:r>
          </w:p>
        </w:tc>
      </w:tr>
      <w:tr w14:paraId="0F8342CE">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E6A400E">
            <w:pPr>
              <w:widowControl w:val="0"/>
            </w:pPr>
            <w:r>
              <w:t>Elemento de Despesa</w:t>
            </w:r>
          </w:p>
        </w:tc>
        <w:tc>
          <w:tcPr>
            <w:tcW w:w="0" w:type="auto"/>
          </w:tcPr>
          <w:p w14:paraId="7D28564A">
            <w:pPr>
              <w:widowControl w:val="0"/>
            </w:pPr>
            <w:r>
              <w:t>3.3.90.39 – Outros serviços de Terceiros – Pessoa Jurídica</w:t>
            </w:r>
          </w:p>
        </w:tc>
      </w:tr>
      <w:tr w14:paraId="30E30D72">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39A69E4C">
            <w:pPr>
              <w:widowControl w:val="0"/>
            </w:pPr>
            <w:r>
              <w:t>Previsão para esta Despesa</w:t>
            </w:r>
          </w:p>
        </w:tc>
        <w:tc>
          <w:tcPr>
            <w:tcW w:w="0" w:type="auto"/>
          </w:tcPr>
          <w:p w14:paraId="48138BB2">
            <w:pPr>
              <w:widowControl w:val="0"/>
            </w:pPr>
            <w:r>
              <w:rPr>
                <w:color w:val="000000"/>
              </w:rPr>
              <w:t>2.714.580,11</w:t>
            </w:r>
          </w:p>
        </w:tc>
      </w:tr>
      <w:tr w14:paraId="19D5549E">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1187A9D4">
            <w:pPr>
              <w:widowControl w:val="0"/>
            </w:pPr>
            <w:r>
              <w:t xml:space="preserve">Reduzido </w:t>
            </w:r>
          </w:p>
        </w:tc>
        <w:tc>
          <w:tcPr>
            <w:tcW w:w="0" w:type="auto"/>
          </w:tcPr>
          <w:p w14:paraId="1C8AF492">
            <w:pPr>
              <w:widowControl w:val="0"/>
            </w:pPr>
            <w:r>
              <w:t>112</w:t>
            </w:r>
          </w:p>
        </w:tc>
      </w:tr>
      <w:tr w14:paraId="0513F23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281BE121">
            <w:pPr>
              <w:widowControl w:val="0"/>
            </w:pPr>
            <w:r>
              <w:t xml:space="preserve">Fonte de Recursos </w:t>
            </w:r>
          </w:p>
        </w:tc>
        <w:tc>
          <w:tcPr>
            <w:tcW w:w="0" w:type="auto"/>
          </w:tcPr>
          <w:p w14:paraId="50987D83">
            <w:pPr>
              <w:widowControl w:val="0"/>
            </w:pPr>
            <w:r>
              <w:t>1.501.0000000</w:t>
            </w:r>
          </w:p>
        </w:tc>
      </w:tr>
    </w:tbl>
    <w:p w14:paraId="694009D6"/>
    <w:p w14:paraId="58C6391F"/>
    <w:tbl>
      <w:tblPr>
        <w:tblStyle w:val="12"/>
        <w:tblW w:w="0" w:type="auto"/>
        <w:tblInd w:w="973"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788"/>
        <w:gridCol w:w="5669"/>
      </w:tblGrid>
      <w:tr w14:paraId="1ED4DA66">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gridSpan w:val="2"/>
          </w:tcPr>
          <w:p w14:paraId="478A470F">
            <w:pPr>
              <w:widowControl w:val="0"/>
              <w:jc w:val="center"/>
              <w:rPr>
                <w:b/>
              </w:rPr>
            </w:pPr>
            <w:r>
              <w:rPr>
                <w:b/>
              </w:rPr>
              <w:t>SECRETARIA MUNICIPAL DE TRANSPORTE E TRÂNSITO PREVISÃO PARA ESTA DESPESA 2026</w:t>
            </w:r>
          </w:p>
        </w:tc>
      </w:tr>
      <w:tr w14:paraId="3054264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6CB4DA0">
            <w:pPr>
              <w:widowControl w:val="0"/>
            </w:pPr>
            <w:r>
              <w:t>Órgão</w:t>
            </w:r>
          </w:p>
        </w:tc>
        <w:tc>
          <w:tcPr>
            <w:tcW w:w="0" w:type="auto"/>
          </w:tcPr>
          <w:p w14:paraId="206DD369">
            <w:pPr>
              <w:widowControl w:val="0"/>
            </w:pPr>
            <w:r>
              <w:t>02 – Prefeitura Municipal de Rondonópolis</w:t>
            </w:r>
          </w:p>
        </w:tc>
      </w:tr>
      <w:tr w14:paraId="43D85F15">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274D6868">
            <w:pPr>
              <w:widowControl w:val="0"/>
            </w:pPr>
            <w:r>
              <w:t>Unidade</w:t>
            </w:r>
          </w:p>
        </w:tc>
        <w:tc>
          <w:tcPr>
            <w:tcW w:w="0" w:type="auto"/>
          </w:tcPr>
          <w:p w14:paraId="5FAB25DC">
            <w:pPr>
              <w:widowControl w:val="0"/>
            </w:pPr>
            <w:r>
              <w:t>006 – Secretaria Municipal de Transporte e Trânsito</w:t>
            </w:r>
          </w:p>
        </w:tc>
      </w:tr>
      <w:tr w14:paraId="26F64E0E">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5EC493A0">
            <w:pPr>
              <w:widowControl w:val="0"/>
            </w:pPr>
            <w:r>
              <w:t xml:space="preserve">Funcional Programática </w:t>
            </w:r>
          </w:p>
        </w:tc>
        <w:tc>
          <w:tcPr>
            <w:tcW w:w="0" w:type="auto"/>
          </w:tcPr>
          <w:p w14:paraId="366049A7">
            <w:pPr>
              <w:widowControl w:val="0"/>
            </w:pPr>
            <w:r>
              <w:t xml:space="preserve">26.451.2105.2096 - SINALIZAÇÃO HORIZONTAL E VERTICAL  </w:t>
            </w:r>
          </w:p>
        </w:tc>
      </w:tr>
      <w:tr w14:paraId="5222B7A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521D4660">
            <w:pPr>
              <w:widowControl w:val="0"/>
            </w:pPr>
            <w:r>
              <w:t>Elemento de Despesa</w:t>
            </w:r>
          </w:p>
        </w:tc>
        <w:tc>
          <w:tcPr>
            <w:tcW w:w="0" w:type="auto"/>
          </w:tcPr>
          <w:p w14:paraId="4821C22B">
            <w:pPr>
              <w:widowControl w:val="0"/>
            </w:pPr>
            <w:r>
              <w:t>3.3.90.39 – Outros serviços de Terceiros – Pessoa Jurídica</w:t>
            </w:r>
          </w:p>
        </w:tc>
      </w:tr>
      <w:tr w14:paraId="0487A19A">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18ED2956">
            <w:pPr>
              <w:widowControl w:val="0"/>
            </w:pPr>
            <w:r>
              <w:t>Previsão para esta Despesa</w:t>
            </w:r>
          </w:p>
        </w:tc>
        <w:tc>
          <w:tcPr>
            <w:tcW w:w="0" w:type="auto"/>
          </w:tcPr>
          <w:p w14:paraId="5D5798A4">
            <w:pPr>
              <w:widowControl w:val="0"/>
            </w:pPr>
            <w:r>
              <w:t>12.654.174,48</w:t>
            </w:r>
          </w:p>
        </w:tc>
      </w:tr>
      <w:tr w14:paraId="190C145A">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24F3223">
            <w:pPr>
              <w:widowControl w:val="0"/>
            </w:pPr>
            <w:r>
              <w:t xml:space="preserve">Reduzido </w:t>
            </w:r>
          </w:p>
        </w:tc>
        <w:tc>
          <w:tcPr>
            <w:tcW w:w="0" w:type="auto"/>
          </w:tcPr>
          <w:p w14:paraId="13435477">
            <w:pPr>
              <w:widowControl w:val="0"/>
            </w:pPr>
            <w:r>
              <w:t>112</w:t>
            </w:r>
          </w:p>
        </w:tc>
      </w:tr>
      <w:tr w14:paraId="02EDD7E5">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7F75803B">
            <w:pPr>
              <w:widowControl w:val="0"/>
            </w:pPr>
            <w:r>
              <w:t xml:space="preserve">Fonte de Recursos </w:t>
            </w:r>
          </w:p>
        </w:tc>
        <w:tc>
          <w:tcPr>
            <w:tcW w:w="0" w:type="auto"/>
          </w:tcPr>
          <w:p w14:paraId="59C558D5">
            <w:pPr>
              <w:widowControl w:val="0"/>
            </w:pPr>
            <w:r>
              <w:t>1.501.0000000</w:t>
            </w:r>
          </w:p>
        </w:tc>
      </w:tr>
    </w:tbl>
    <w:p w14:paraId="45E3B6EC">
      <w:pPr>
        <w:jc w:val="both"/>
      </w:pPr>
    </w:p>
    <w:p w14:paraId="69AB4913">
      <w:pPr>
        <w:pStyle w:val="91"/>
        <w:jc w:val="both"/>
        <w:rPr>
          <w:rFonts w:ascii="Arial" w:hAnsi="Arial" w:cs="Arial"/>
          <w:sz w:val="22"/>
          <w:szCs w:val="22"/>
        </w:rPr>
      </w:pPr>
      <w:r>
        <w:rPr>
          <w:rFonts w:ascii="Arial" w:hAnsi="Arial" w:eastAsia="Verdana" w:cs="Arial"/>
          <w:b/>
          <w:sz w:val="22"/>
          <w:szCs w:val="22"/>
        </w:rPr>
        <w:t xml:space="preserve">9.2. </w:t>
      </w:r>
      <w:r>
        <w:rPr>
          <w:rFonts w:ascii="Arial" w:hAnsi="Arial" w:cs="Arial"/>
          <w:sz w:val="22"/>
          <w:szCs w:val="22"/>
        </w:rPr>
        <w:t xml:space="preserve">Valor total estimado é de </w:t>
      </w:r>
      <w:r>
        <w:rPr>
          <w:rFonts w:ascii="Arial" w:hAnsi="Arial" w:cs="Arial"/>
          <w:b/>
          <w:bCs/>
          <w:sz w:val="22"/>
          <w:szCs w:val="22"/>
        </w:rPr>
        <w:t>R</w:t>
      </w:r>
      <w:r>
        <w:rPr>
          <w:rFonts w:ascii="Arial" w:hAnsi="Arial" w:cs="Arial"/>
          <w:b/>
          <w:bCs/>
          <w:color w:val="auto"/>
          <w:sz w:val="22"/>
          <w:szCs w:val="22"/>
        </w:rPr>
        <w:t>$ 16.872.232,56</w:t>
      </w:r>
      <w:r>
        <w:rPr>
          <w:rFonts w:ascii="Arial" w:hAnsi="Arial" w:cs="Arial"/>
          <w:color w:val="auto"/>
          <w:sz w:val="22"/>
          <w:szCs w:val="22"/>
        </w:rPr>
        <w:t xml:space="preserve"> </w:t>
      </w:r>
      <w:r>
        <w:rPr>
          <w:rFonts w:ascii="Arial" w:hAnsi="Arial" w:cs="Arial"/>
          <w:b/>
          <w:bCs/>
          <w:sz w:val="22"/>
          <w:szCs w:val="22"/>
        </w:rPr>
        <w:t xml:space="preserve">(dezesseis milhões oitocentos e setenta e dois mil duzentos e trinta e dois reais e cinquenta e seis </w:t>
      </w:r>
      <w:r>
        <w:rPr>
          <w:rFonts w:ascii="Arial" w:hAnsi="Arial" w:cs="Arial"/>
          <w:b/>
          <w:sz w:val="22"/>
          <w:szCs w:val="22"/>
        </w:rPr>
        <w:t xml:space="preserve"> centavos)</w:t>
      </w:r>
      <w:r>
        <w:rPr>
          <w:rFonts w:ascii="Arial" w:hAnsi="Arial" w:cs="Arial"/>
          <w:sz w:val="22"/>
          <w:szCs w:val="22"/>
        </w:rPr>
        <w:t xml:space="preserve"> conforme cronograma físico financeiro (Anexo IX).</w:t>
      </w:r>
    </w:p>
    <w:p w14:paraId="3D56E7C4">
      <w:pPr>
        <w:pStyle w:val="91"/>
        <w:jc w:val="both"/>
        <w:rPr>
          <w:rFonts w:ascii="Arial" w:hAnsi="Arial" w:cs="Arial"/>
          <w:b/>
          <w:sz w:val="22"/>
          <w:szCs w:val="22"/>
        </w:rPr>
      </w:pPr>
    </w:p>
    <w:p w14:paraId="6B1F48F9">
      <w:pPr>
        <w:ind w:right="-5"/>
      </w:pPr>
      <w:r>
        <w:rPr>
          <w:b/>
        </w:rPr>
        <w:t>CLÁUSULA DÉCIMA - DO VALOR E DAS CONDIÇÕES DE PAGAMENTO:</w:t>
      </w:r>
    </w:p>
    <w:p w14:paraId="2A3F67F4">
      <w:pPr>
        <w:ind w:right="-5"/>
      </w:pPr>
    </w:p>
    <w:p w14:paraId="5D83B9E8">
      <w:pPr>
        <w:ind w:right="-5"/>
        <w:jc w:val="both"/>
      </w:pPr>
      <w:r>
        <w:rPr>
          <w:b/>
        </w:rPr>
        <w:t>10.1.</w:t>
      </w:r>
      <w:r>
        <w:t xml:space="preserve"> O valor global do presente Contrato é de </w:t>
      </w:r>
      <w:r>
        <w:rPr>
          <w:b/>
        </w:rPr>
        <w:t xml:space="preserve">R$ XXXXXX (..........................................), </w:t>
      </w:r>
      <w:r>
        <w:t>de acordo com a Proposta Comercial da Contratada, a serem pagos, mediante apresentação de nota fiscal, na Tesouraria desta Prefeitura;</w:t>
      </w:r>
    </w:p>
    <w:p w14:paraId="217FD0F3">
      <w:pPr>
        <w:ind w:right="-5"/>
        <w:jc w:val="both"/>
      </w:pPr>
    </w:p>
    <w:p w14:paraId="3F7FC1AF">
      <w:pPr>
        <w:ind w:right="-5"/>
        <w:jc w:val="both"/>
      </w:pPr>
      <w:r>
        <w:rPr>
          <w:rStyle w:val="207"/>
          <w:rFonts w:eastAsia="Calibri"/>
          <w:b/>
        </w:rPr>
        <w:t>10.2.</w:t>
      </w:r>
      <w:r>
        <w:rPr>
          <w:rStyle w:val="207"/>
          <w:rFonts w:eastAsia="Calibri"/>
        </w:rPr>
        <w:t xml:space="preserve"> Nos preços supracitados estão incluídas todas as despesas relativas ao objeto contratado (tributos, seguros, encargos sociais, etc.). </w:t>
      </w:r>
    </w:p>
    <w:p w14:paraId="23363463">
      <w:pPr>
        <w:ind w:right="-5"/>
        <w:jc w:val="both"/>
      </w:pPr>
    </w:p>
    <w:p w14:paraId="71847D53">
      <w:pPr>
        <w:jc w:val="both"/>
      </w:pPr>
      <w:r>
        <w:rPr>
          <w:b/>
        </w:rPr>
        <w:t>10.3.</w:t>
      </w:r>
      <w:r>
        <w:t xml:space="preserve"> O pagamento será efetuado mediante ordem bancária emitida em favor da empresa contratada, após o recebimento definitivo dos materiais, até </w:t>
      </w:r>
      <w:r>
        <w:rPr>
          <w:rStyle w:val="207"/>
          <w:rFonts w:eastAsia="Calibri"/>
        </w:rPr>
        <w:t>o 30º (trigésimo) dia</w:t>
      </w:r>
      <w:r>
        <w:t>, contados a partir da data de entrega da Nota Fiscal (ELETRÔNICA), conforme exigência prevista no Artigo 180, do RICMS (Regulamento do ICMS) a ser processada em duas vias, com todos os campos preenchidos discriminando valores unitários e totais dos itens, sem rasuras e devidamente atestada pelo servidor responsável pelo recebimento do serviço e/ou material da Secretaria Municipal solicitante, constando, ainda, o número do banco, da agência e da conta corrente onde deseja receber seu crédito.</w:t>
      </w:r>
    </w:p>
    <w:p w14:paraId="02C8BE4F">
      <w:pPr>
        <w:jc w:val="both"/>
      </w:pPr>
    </w:p>
    <w:p w14:paraId="6A399891">
      <w:pPr>
        <w:jc w:val="both"/>
      </w:pPr>
      <w:r>
        <w:rPr>
          <w:rStyle w:val="207"/>
          <w:rFonts w:eastAsia="Calibri"/>
          <w:b/>
        </w:rPr>
        <w:t>10.3.1.</w:t>
      </w:r>
      <w:r>
        <w:rPr>
          <w:rStyle w:val="207"/>
          <w:rFonts w:eastAsia="Calibri"/>
        </w:rPr>
        <w:t xml:space="preserve"> </w:t>
      </w:r>
      <w:r>
        <w:rPr>
          <w:bCs/>
        </w:rPr>
        <w:t xml:space="preserve">Apresentar, junto com a Nota Fiscal, as certidões que comprovem a regularidade com as condições de habilitação e qualificação exigidas na licitação </w:t>
      </w:r>
      <w:r>
        <w:t>conforme ao disposto n</w:t>
      </w:r>
      <w:r>
        <w:rPr>
          <w:b/>
        </w:rPr>
        <w:t xml:space="preserve">o artigo 92 inciso </w:t>
      </w:r>
      <w:r>
        <w:t>XVI da Lei nº 14.133, de 01 de abril de 2021.</w:t>
      </w:r>
    </w:p>
    <w:p w14:paraId="3E9ED18A">
      <w:pPr>
        <w:spacing w:before="280" w:after="280"/>
        <w:ind w:left="1134"/>
        <w:jc w:val="both"/>
      </w:pPr>
      <w:r>
        <w:t xml:space="preserve"> “XVI - a obrigação do contratado de manter, durante toda a execução do contrato, em compatibilidade com as obrigações por ele assumidas, todas as condições exigidas para a habilitação na licitação, ou para a qualificação, na contratação direta;”.</w:t>
      </w:r>
    </w:p>
    <w:p w14:paraId="6DD963F6">
      <w:pPr>
        <w:ind w:right="-5"/>
        <w:jc w:val="both"/>
      </w:pPr>
      <w:r>
        <w:rPr>
          <w:rStyle w:val="207"/>
          <w:rFonts w:eastAsia="Calibri"/>
          <w:b/>
        </w:rPr>
        <w:t xml:space="preserve">10.3.2. </w:t>
      </w:r>
      <w:r>
        <w:rPr>
          <w:rStyle w:val="207"/>
          <w:rFonts w:eastAsia="Calibri"/>
        </w:rPr>
        <w:t xml:space="preserve">Constatando-se qualquer incorreção na Nota Fiscal, bem como, qualquer outra circunstância que desaconselhe o seu pagamento, o prazo constante no item 10.3 fluirá a partir da respectiva data de regularização. </w:t>
      </w:r>
    </w:p>
    <w:p w14:paraId="47DCC37C">
      <w:pPr>
        <w:ind w:right="-5"/>
        <w:jc w:val="both"/>
      </w:pPr>
    </w:p>
    <w:p w14:paraId="7B445445">
      <w:pPr>
        <w:ind w:right="-5"/>
        <w:jc w:val="both"/>
        <w:rPr>
          <w:rStyle w:val="207"/>
          <w:rFonts w:eastAsia="Calibri"/>
        </w:rPr>
      </w:pPr>
      <w:r>
        <w:rPr>
          <w:rStyle w:val="207"/>
          <w:rFonts w:eastAsia="Calibri"/>
          <w:b/>
        </w:rPr>
        <w:t>10.4.</w:t>
      </w:r>
      <w:r>
        <w:rPr>
          <w:rStyle w:val="207"/>
          <w:rFonts w:eastAsia="Calibri"/>
        </w:rPr>
        <w:t xml:space="preserve"> Nenhum pagamento será efetuado à Contratada enquanto pendente de liquidação qualquer obrigação, não podendo este fato ensejar direito de reajustamento de preços ou a atualização monetária.</w:t>
      </w:r>
    </w:p>
    <w:p w14:paraId="0761CE4F">
      <w:pPr>
        <w:ind w:right="-5"/>
        <w:jc w:val="both"/>
        <w:rPr>
          <w:rStyle w:val="207"/>
          <w:rFonts w:eastAsia="Calibri"/>
        </w:rPr>
      </w:pPr>
    </w:p>
    <w:p w14:paraId="4E346E43">
      <w:pPr>
        <w:ind w:right="-5"/>
        <w:jc w:val="both"/>
      </w:pPr>
      <w:r>
        <w:rPr>
          <w:rStyle w:val="207"/>
          <w:rFonts w:eastAsia="Calibri"/>
          <w:b/>
        </w:rPr>
        <w:t>10.5.</w:t>
      </w:r>
      <w:r>
        <w:t xml:space="preserve"> </w:t>
      </w:r>
      <w:r>
        <w:rPr>
          <w:rStyle w:val="207"/>
          <w:rFonts w:eastAsia="Calibri"/>
        </w:rPr>
        <w:t>O prazo para liquidação será de 15 (quinze) dias úteis.</w:t>
      </w:r>
    </w:p>
    <w:p w14:paraId="4C76D7B5">
      <w:pPr>
        <w:ind w:right="-5"/>
        <w:jc w:val="both"/>
      </w:pPr>
    </w:p>
    <w:p w14:paraId="063E0CA8">
      <w:pPr>
        <w:ind w:right="-5"/>
        <w:jc w:val="both"/>
      </w:pPr>
      <w:r>
        <w:rPr>
          <w:rStyle w:val="207"/>
          <w:rFonts w:eastAsia="Calibri"/>
          <w:b/>
        </w:rPr>
        <w:t>10.6.</w:t>
      </w:r>
      <w:r>
        <w:rPr>
          <w:rStyle w:val="207"/>
          <w:rFonts w:eastAsia="Calibri"/>
        </w:rPr>
        <w:t xml:space="preserve"> Os pagamentos não realizados dentro do prazo, motivados pela CONTRATADA, não serão geradores de direito a reajustamento de preços. </w:t>
      </w:r>
    </w:p>
    <w:p w14:paraId="15782A9A">
      <w:pPr>
        <w:ind w:right="-5"/>
        <w:jc w:val="both"/>
      </w:pPr>
    </w:p>
    <w:p w14:paraId="3E0717CF">
      <w:pPr>
        <w:ind w:right="-5"/>
        <w:jc w:val="both"/>
      </w:pPr>
      <w:r>
        <w:rPr>
          <w:b/>
        </w:rPr>
        <w:t>10.7.</w:t>
      </w:r>
      <w:r>
        <w:t xml:space="preserve"> As notas fiscais deverão estar devidamente atestada (s) pelos Secretários responsáveis pelas Secretarias solicitantes;</w:t>
      </w:r>
      <w:r>
        <w:rPr>
          <w:b/>
          <w:u w:val="words"/>
        </w:rPr>
        <w:t xml:space="preserve"> </w:t>
      </w:r>
    </w:p>
    <w:p w14:paraId="13B319AE">
      <w:pPr>
        <w:jc w:val="both"/>
        <w:rPr>
          <w:b/>
        </w:rPr>
      </w:pPr>
      <w:r>
        <w:rPr>
          <w:b/>
        </w:rPr>
        <w:t>10.8. As Notas Fiscais deverão ser emitidas até o dia 25 de cada mês, conforme disposto no artigo 3º, § 1º da Instrução Normativa n. 03/2008. Nas Notas Fiscais deverão constar o número do processo e da modalidade da licitação, bem como a Secretaria solicitante.</w:t>
      </w:r>
    </w:p>
    <w:p w14:paraId="58ECF1A4">
      <w:pPr>
        <w:jc w:val="both"/>
      </w:pPr>
    </w:p>
    <w:p w14:paraId="14FEFAB8">
      <w:pPr>
        <w:jc w:val="both"/>
      </w:pPr>
      <w:r>
        <w:rPr>
          <w:b/>
        </w:rPr>
        <w:t>10.9.</w:t>
      </w:r>
      <w:r>
        <w:t xml:space="preserve"> O Município de Rondonópolis-MT, só autorizará a realização dos pagamentos, se houver por parte do setor requisitante dos produtos, o necessário ATESTO dos produtos entregues pela empresa vencedora, no verso da Nota Fiscal.</w:t>
      </w:r>
    </w:p>
    <w:p w14:paraId="14E52C07">
      <w:pPr>
        <w:jc w:val="both"/>
      </w:pPr>
    </w:p>
    <w:p w14:paraId="36D6D173">
      <w:pPr>
        <w:jc w:val="both"/>
      </w:pPr>
      <w:r>
        <w:rPr>
          <w:b/>
        </w:rPr>
        <w:t xml:space="preserve">10.10. </w:t>
      </w:r>
      <w:r>
        <w:t>Quando do pagamento, será efetuada a retenção tributária prevista na legislação aplicável.</w:t>
      </w:r>
    </w:p>
    <w:p w14:paraId="6A2DF880">
      <w:pPr>
        <w:tabs>
          <w:tab w:val="left" w:pos="1440"/>
        </w:tabs>
        <w:autoSpaceDE w:val="0"/>
        <w:snapToGrid w:val="0"/>
        <w:spacing w:before="120" w:after="120"/>
        <w:ind w:left="708"/>
        <w:jc w:val="both"/>
      </w:pPr>
      <w:r>
        <w:rPr>
          <w:b/>
        </w:rPr>
        <w:t xml:space="preserve">10.10.1. </w:t>
      </w:r>
      <w:r>
        <w:t>A Contratada regularmente optante pelo Simples Nacional, nos termos da Lei Complementar nº 123, de 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0A32A89">
      <w:pPr>
        <w:autoSpaceDE w:val="0"/>
        <w:jc w:val="both"/>
      </w:pPr>
      <w:r>
        <w:rPr>
          <w:b/>
        </w:rPr>
        <w:t>10.11.</w:t>
      </w:r>
      <w:r>
        <w:t xml:space="preserve"> A liquidação e o pagamento não isentam o contratado das suas responsabilidades e obrigações vinculadas ao fornecimento, especialmente àquelas relacionadas à qualidade e garantia dos produtos, tampouco implicará aceitação definitiva do fornecimento.</w:t>
      </w:r>
    </w:p>
    <w:p w14:paraId="0EA369B1">
      <w:pPr>
        <w:autoSpaceDE w:val="0"/>
        <w:jc w:val="both"/>
      </w:pPr>
    </w:p>
    <w:p w14:paraId="2E1A6D51">
      <w:pPr>
        <w:autoSpaceDE w:val="0"/>
        <w:jc w:val="both"/>
      </w:pPr>
      <w:r>
        <w:rPr>
          <w:b/>
        </w:rPr>
        <w:t>10.12.</w:t>
      </w:r>
      <w:r>
        <w:t xml:space="preserve"> As despesas bancárias decorrentes de transferência de valores para outras praças, serão de responsabilidade do contratado.</w:t>
      </w:r>
    </w:p>
    <w:p w14:paraId="46E07C61">
      <w:pPr>
        <w:autoSpaceDE w:val="0"/>
        <w:jc w:val="both"/>
      </w:pPr>
    </w:p>
    <w:p w14:paraId="2D105D0F">
      <w:pPr>
        <w:autoSpaceDE w:val="0"/>
        <w:jc w:val="both"/>
      </w:pPr>
      <w:r>
        <w:rPr>
          <w:b/>
        </w:rPr>
        <w:t>10.13.</w:t>
      </w:r>
      <w:r>
        <w:t xml:space="preserve"> Após 30 (trinta) dias da data em que deveria ser efetuado o pagamento das faturas, incidirá sobre o valor faturado atualização monetária com base no Índice de Nacional de Preços ao Consumidor Amplo (IPCA) ou Índice Geral de Preços - Mercado (IGP-M), sendo que sempre será utilizado o índice de menor percentual.</w:t>
      </w:r>
    </w:p>
    <w:p w14:paraId="3C647B6B">
      <w:pPr>
        <w:autoSpaceDE w:val="0"/>
        <w:jc w:val="both"/>
      </w:pPr>
    </w:p>
    <w:p w14:paraId="67CED313">
      <w:pPr>
        <w:rPr>
          <w:b/>
        </w:rPr>
      </w:pPr>
      <w:r>
        <w:rPr>
          <w:b/>
        </w:rPr>
        <w:t>CLÁUSULA DÉCIMA PRIMEIRA - DO REAJUSTAMENTO, REPACTUAÇÃO, REVISÃO, SUPRESSÕES E ACRÉSCIMOS</w:t>
      </w:r>
    </w:p>
    <w:p w14:paraId="04847CD0">
      <w:pPr>
        <w:jc w:val="both"/>
        <w:rPr>
          <w:b/>
        </w:rPr>
      </w:pPr>
    </w:p>
    <w:p w14:paraId="69B4E32B">
      <w:pPr>
        <w:autoSpaceDE w:val="0"/>
        <w:jc w:val="both"/>
        <w:rPr>
          <w:b/>
        </w:rPr>
      </w:pPr>
      <w:r>
        <w:rPr>
          <w:b/>
        </w:rPr>
        <w:t xml:space="preserve">11.1. DO CRITÉRIO DE REAJUSTE </w:t>
      </w:r>
    </w:p>
    <w:p w14:paraId="5B7BDDE2">
      <w:pPr>
        <w:autoSpaceDE w:val="0"/>
        <w:jc w:val="both"/>
      </w:pPr>
    </w:p>
    <w:p w14:paraId="39FC0B35">
      <w:pPr>
        <w:autoSpaceDE w:val="0"/>
        <w:jc w:val="both"/>
      </w:pPr>
      <w:r>
        <w:rPr>
          <w:b/>
          <w:bCs/>
          <w:iCs/>
          <w:spacing w:val="-1"/>
        </w:rPr>
        <w:t>11.1.1.</w:t>
      </w:r>
      <w:r>
        <w:rPr>
          <w:bCs/>
          <w:iCs/>
          <w:spacing w:val="-1"/>
        </w:rPr>
        <w:t xml:space="preserve"> </w:t>
      </w:r>
      <w:r>
        <w:t>Os preços inicialmente contratados são fixos e irreajustáveis pelo prazo de um ano contado da data do orçamento estimado.</w:t>
      </w:r>
    </w:p>
    <w:p w14:paraId="1546BD82">
      <w:pPr>
        <w:autoSpaceDE w:val="0"/>
        <w:jc w:val="both"/>
      </w:pPr>
    </w:p>
    <w:p w14:paraId="55E0E21E">
      <w:pPr>
        <w:pStyle w:val="263"/>
        <w:widowControl w:val="0"/>
        <w:tabs>
          <w:tab w:val="left" w:pos="426"/>
        </w:tabs>
        <w:jc w:val="both"/>
        <w:rPr>
          <w:rFonts w:ascii="Arial" w:hAnsi="Arial" w:cs="Arial"/>
        </w:rPr>
      </w:pPr>
      <w:r>
        <w:rPr>
          <w:rFonts w:ascii="Arial" w:hAnsi="Arial" w:cs="Arial"/>
          <w:b/>
          <w:bCs/>
          <w:iCs/>
          <w:spacing w:val="-1"/>
          <w:lang w:eastAsia="pt-BR"/>
        </w:rPr>
        <w:t>11.1.1.1.</w:t>
      </w:r>
      <w:r>
        <w:rPr>
          <w:rFonts w:ascii="Arial" w:hAnsi="Arial" w:cs="Arial"/>
          <w:bCs/>
          <w:iCs/>
          <w:spacing w:val="-1"/>
          <w:lang w:eastAsia="pt-BR"/>
        </w:rPr>
        <w:t xml:space="preserve"> </w:t>
      </w:r>
      <w:r>
        <w:rPr>
          <w:rFonts w:ascii="Arial" w:hAnsi="Arial" w:cs="Arial"/>
          <w:iCs/>
          <w:spacing w:val="-1"/>
          <w:lang w:eastAsia="pt-BR"/>
        </w:rPr>
        <w:t>Considera-se preço registrado aquele atribuído ao produto, incluindo todas as despesas tais como: tributos (impostos, taxas, emolumentos, contribuições fiscais e para fiscais) e</w:t>
      </w:r>
      <w:r>
        <w:rPr>
          <w:rFonts w:ascii="Arial" w:hAnsi="Arial" w:cs="Arial"/>
        </w:rPr>
        <w:t xml:space="preserve"> qualquer despesa, acessória e/ou complementar e outras não especificadas neste edital, mas que incidam no cumprimento das obrigações assumidas pela empresa detentora da Ata na execução da mesma.</w:t>
      </w:r>
    </w:p>
    <w:p w14:paraId="2F4F7416">
      <w:pPr>
        <w:autoSpaceDE w:val="0"/>
        <w:jc w:val="both"/>
      </w:pPr>
    </w:p>
    <w:p w14:paraId="16254C02">
      <w:pPr>
        <w:autoSpaceDE w:val="0"/>
        <w:jc w:val="both"/>
      </w:pPr>
      <w:r>
        <w:rPr>
          <w:b/>
          <w:bCs/>
          <w:iCs/>
          <w:spacing w:val="-1"/>
        </w:rPr>
        <w:t>11.1.1.</w:t>
      </w:r>
      <w:r>
        <w:rPr>
          <w:b/>
        </w:rPr>
        <w:t>2.</w:t>
      </w:r>
      <w:r>
        <w:t xml:space="preserve"> Após o interregno de 1 (um) ano, os preços iniciais serão reajustados, mediante a aplicação, pelo contratante, do Índice de Nacional de Preços ao Consumidor Amplo (IPCA) ou Índice Geral de Preços – Mercado (IGP-M), sendo que sempre será utilizado o índice de menor percentual, exclusivamente para as obrigações iniciadas e concluídas após a ocorrência da anualidade.</w:t>
      </w:r>
    </w:p>
    <w:p w14:paraId="2FE19E4D">
      <w:pPr>
        <w:autoSpaceDE w:val="0"/>
        <w:jc w:val="both"/>
      </w:pPr>
    </w:p>
    <w:p w14:paraId="7D82C4F0">
      <w:pPr>
        <w:autoSpaceDE w:val="0"/>
        <w:jc w:val="both"/>
      </w:pPr>
      <w:r>
        <w:rPr>
          <w:b/>
          <w:bCs/>
          <w:iCs/>
          <w:spacing w:val="-1"/>
        </w:rPr>
        <w:t>11.1.1.</w:t>
      </w:r>
      <w:r>
        <w:rPr>
          <w:b/>
        </w:rPr>
        <w:t>3.</w:t>
      </w:r>
      <w:r>
        <w:t xml:space="preserve"> Os reajustes deverão ser precedidos de solicitação do contratado, acompanhada de memorial do cálculo.</w:t>
      </w:r>
    </w:p>
    <w:p w14:paraId="1CCA2AA5">
      <w:pPr>
        <w:autoSpaceDE w:val="0"/>
        <w:jc w:val="both"/>
      </w:pPr>
    </w:p>
    <w:p w14:paraId="12D2AE5F">
      <w:pPr>
        <w:autoSpaceDE w:val="0"/>
        <w:jc w:val="both"/>
      </w:pPr>
      <w:r>
        <w:rPr>
          <w:b/>
          <w:bCs/>
          <w:iCs/>
          <w:spacing w:val="-1"/>
        </w:rPr>
        <w:t>11.1.1.</w:t>
      </w:r>
      <w:r>
        <w:rPr>
          <w:b/>
        </w:rPr>
        <w:t>4.</w:t>
      </w:r>
      <w:r>
        <w:t xml:space="preserve"> Independentemente do requerimento de reajuste formulado pelo contratado, o contratante verificará, a cada anualidade, se houve deflação do índice adotado que justifique o recálculo dos custos em valor menor, promovendo, em caso positivo, a redução dos valores correspondentes da planilha contratual.</w:t>
      </w:r>
    </w:p>
    <w:p w14:paraId="37782F5B">
      <w:pPr>
        <w:autoSpaceDE w:val="0"/>
        <w:jc w:val="both"/>
      </w:pPr>
    </w:p>
    <w:p w14:paraId="18BD7C6B">
      <w:pPr>
        <w:autoSpaceDE w:val="0"/>
        <w:jc w:val="both"/>
      </w:pPr>
      <w:r>
        <w:rPr>
          <w:b/>
          <w:bCs/>
          <w:iCs/>
          <w:spacing w:val="-1"/>
        </w:rPr>
        <w:t>11.1.1.</w:t>
      </w:r>
      <w:r>
        <w:rPr>
          <w:b/>
        </w:rPr>
        <w:t>5.</w:t>
      </w:r>
      <w:r>
        <w:t xml:space="preserve"> Nos reajustes subsequentes ao primeiro, o intervalo mínimo de um ano será contado a partir dos efeitos financeiros do último reajuste.</w:t>
      </w:r>
    </w:p>
    <w:p w14:paraId="385ADDDA">
      <w:pPr>
        <w:autoSpaceDE w:val="0"/>
        <w:jc w:val="both"/>
        <w:rPr>
          <w:b/>
        </w:rPr>
      </w:pPr>
    </w:p>
    <w:p w14:paraId="10FDCAE4">
      <w:pPr>
        <w:autoSpaceDE w:val="0"/>
        <w:jc w:val="both"/>
      </w:pPr>
      <w:r>
        <w:rPr>
          <w:b/>
          <w:bCs/>
          <w:iCs/>
          <w:spacing w:val="-1"/>
        </w:rPr>
        <w:t>11.1.1.</w:t>
      </w:r>
      <w:r>
        <w:rPr>
          <w:b/>
        </w:rPr>
        <w:t>6.</w:t>
      </w:r>
      <w:r>
        <w:t xml:space="preserve"> No caso de atraso ou não divulgação do(s) índice (s) de reajustamento, o contratante pagará ao contratado a importância calculada pela última variação conhecida, liquidando a diferença correspondente tão logo seja(m) divulgado(s) o(s) índice(s) definitivo(s).</w:t>
      </w:r>
    </w:p>
    <w:p w14:paraId="735D465F">
      <w:pPr>
        <w:autoSpaceDE w:val="0"/>
        <w:jc w:val="both"/>
      </w:pPr>
    </w:p>
    <w:p w14:paraId="5C619788">
      <w:pPr>
        <w:autoSpaceDE w:val="0"/>
        <w:jc w:val="both"/>
      </w:pPr>
      <w:r>
        <w:rPr>
          <w:b/>
          <w:bCs/>
          <w:iCs/>
          <w:spacing w:val="-1"/>
        </w:rPr>
        <w:t>11.1.1.</w:t>
      </w:r>
      <w:r>
        <w:rPr>
          <w:b/>
        </w:rPr>
        <w:t>7</w:t>
      </w:r>
      <w:r>
        <w:t>. A prorrogação contratual sem a solicitação do reajuste implica a preclusão deste, sem prejuízo dos futuros reajustes nos termos pactuados.</w:t>
      </w:r>
    </w:p>
    <w:p w14:paraId="26FF2156">
      <w:pPr>
        <w:autoSpaceDE w:val="0"/>
        <w:jc w:val="both"/>
      </w:pPr>
    </w:p>
    <w:p w14:paraId="24AEAD6C">
      <w:pPr>
        <w:autoSpaceDE w:val="0"/>
        <w:jc w:val="both"/>
      </w:pPr>
      <w:r>
        <w:rPr>
          <w:b/>
          <w:bCs/>
          <w:iCs/>
          <w:spacing w:val="-1"/>
        </w:rPr>
        <w:t>11.1.1.</w:t>
      </w:r>
      <w:r>
        <w:rPr>
          <w:b/>
        </w:rPr>
        <w:t>8.</w:t>
      </w:r>
      <w:r>
        <w:t xml:space="preserve"> Caso o(s) índice(s) estabelecido(s) para reajustamento venha(m) a ser extinto(s) ou de qualquer forma não possa(m) mais ser utilizado(s), será(ão) adotado(s), em substituição, o(s) que vier(em) a ser determinado(s) pela legislação então em vigor.</w:t>
      </w:r>
    </w:p>
    <w:p w14:paraId="5C3FBF28">
      <w:pPr>
        <w:autoSpaceDE w:val="0"/>
        <w:jc w:val="both"/>
      </w:pPr>
    </w:p>
    <w:p w14:paraId="149540D8">
      <w:pPr>
        <w:autoSpaceDE w:val="0"/>
        <w:jc w:val="both"/>
      </w:pPr>
      <w:r>
        <w:rPr>
          <w:b/>
          <w:bCs/>
          <w:iCs/>
          <w:spacing w:val="-1"/>
        </w:rPr>
        <w:t>11.1.1.</w:t>
      </w:r>
      <w:r>
        <w:rPr>
          <w:b/>
        </w:rPr>
        <w:t>9.</w:t>
      </w:r>
      <w:r>
        <w:t xml:space="preserve"> Na ausência de previsão legal quanto ao índice substituto, as partes elegerão novo índice oficial, para reajustamento do preço do valor remanescente, por meio de termo aditivo.</w:t>
      </w:r>
    </w:p>
    <w:p w14:paraId="3CE553BE">
      <w:pPr>
        <w:autoSpaceDE w:val="0"/>
        <w:jc w:val="both"/>
      </w:pPr>
    </w:p>
    <w:p w14:paraId="44CA7F7B">
      <w:pPr>
        <w:jc w:val="both"/>
      </w:pPr>
      <w:r>
        <w:rPr>
          <w:b/>
          <w:bCs/>
          <w:iCs/>
          <w:spacing w:val="-1"/>
        </w:rPr>
        <w:t>11.1.1.</w:t>
      </w:r>
      <w:r>
        <w:rPr>
          <w:b/>
        </w:rPr>
        <w:t>10</w:t>
      </w:r>
      <w:r>
        <w:t xml:space="preserve">. O reajuste será realizado por apostilamento. </w:t>
      </w:r>
    </w:p>
    <w:p w14:paraId="27897B42">
      <w:pPr>
        <w:jc w:val="both"/>
      </w:pPr>
    </w:p>
    <w:p w14:paraId="604A6A31">
      <w:pPr>
        <w:autoSpaceDE w:val="0"/>
        <w:jc w:val="both"/>
        <w:rPr>
          <w:b/>
        </w:rPr>
      </w:pPr>
      <w:r>
        <w:rPr>
          <w:b/>
        </w:rPr>
        <w:t>11.2. DA REVISÃO</w:t>
      </w:r>
    </w:p>
    <w:p w14:paraId="21D8C420">
      <w:pPr>
        <w:autoSpaceDE w:val="0"/>
        <w:jc w:val="both"/>
        <w:rPr>
          <w:b/>
        </w:rPr>
      </w:pPr>
    </w:p>
    <w:p w14:paraId="13E8CFCD">
      <w:pPr>
        <w:jc w:val="both"/>
        <w:rPr>
          <w:color w:val="000000"/>
        </w:rPr>
      </w:pPr>
      <w:r>
        <w:rPr>
          <w:b/>
        </w:rPr>
        <w:t>11.2.</w:t>
      </w:r>
      <w:r>
        <w:rPr>
          <w:b/>
          <w:color w:val="000000"/>
        </w:rPr>
        <w:t>1.</w:t>
      </w:r>
      <w:r>
        <w:rPr>
          <w:color w:val="000000"/>
        </w:rPr>
        <w:t xml:space="preserve"> O contrato poderá ser alterado na forma do artigo 124 e seguintes da Lei nº 14.133/2021 e Decreto Municipal nº 11.685/2023.</w:t>
      </w:r>
    </w:p>
    <w:p w14:paraId="6578AC95">
      <w:pPr>
        <w:jc w:val="both"/>
        <w:rPr>
          <w:color w:val="000000"/>
        </w:rPr>
      </w:pPr>
    </w:p>
    <w:p w14:paraId="6181CA69">
      <w:pPr>
        <w:jc w:val="both"/>
        <w:rPr>
          <w:color w:val="000000"/>
        </w:rPr>
      </w:pPr>
      <w:r>
        <w:rPr>
          <w:b/>
        </w:rPr>
        <w:t>11.2</w:t>
      </w:r>
      <w:r>
        <w:rPr>
          <w:b/>
          <w:color w:val="000000"/>
        </w:rPr>
        <w:t>.2.</w:t>
      </w:r>
      <w:r>
        <w:rPr>
          <w:color w:val="000000"/>
        </w:rPr>
        <w:t xml:space="preserve"> A contratada é obrigada a aceitar, nas mesmas condições contratuais, os acréscimos ou supressões que se fizerem necessários, até o limite de 25% (vinte e cinco por cento) do valor inicial atualizado do contrato.</w:t>
      </w:r>
    </w:p>
    <w:p w14:paraId="4B3F08C4">
      <w:pPr>
        <w:jc w:val="both"/>
        <w:rPr>
          <w:color w:val="000000"/>
        </w:rPr>
      </w:pPr>
    </w:p>
    <w:p w14:paraId="4C403340">
      <w:pPr>
        <w:jc w:val="both"/>
        <w:rPr>
          <w:color w:val="000000"/>
        </w:rPr>
      </w:pPr>
      <w:r>
        <w:rPr>
          <w:b/>
        </w:rPr>
        <w:t>11.2.</w:t>
      </w:r>
      <w:r>
        <w:rPr>
          <w:b/>
          <w:color w:val="000000"/>
        </w:rPr>
        <w:t>3.</w:t>
      </w:r>
      <w:r>
        <w:rPr>
          <w:color w:val="000000"/>
        </w:rPr>
        <w:t xml:space="preserve"> Registros que não caracterizam alteração do contrato podem ser realizados por simples apostila, dispensada a celebração de termo aditivo, na forma do artigo 136 da Lei nº 14.133, de 2021.</w:t>
      </w:r>
    </w:p>
    <w:p w14:paraId="55FAF53E">
      <w:pPr>
        <w:jc w:val="both"/>
        <w:rPr>
          <w:color w:val="000000"/>
        </w:rPr>
      </w:pPr>
    </w:p>
    <w:p w14:paraId="179F20F2">
      <w:pPr>
        <w:jc w:val="both"/>
        <w:rPr>
          <w:color w:val="000000"/>
        </w:rPr>
      </w:pPr>
      <w:r>
        <w:rPr>
          <w:b/>
        </w:rPr>
        <w:t>11.2.</w:t>
      </w:r>
      <w:r>
        <w:rPr>
          <w:b/>
          <w:color w:val="000000"/>
        </w:rPr>
        <w:t>4.</w:t>
      </w:r>
      <w:r>
        <w:rPr>
          <w:color w:val="000000"/>
        </w:rPr>
        <w:t xml:space="preserve"> Durante a vigência do contrato a contratada poderá solicitar a revisão dos preços para manter o equilíbrio econômico-financeiro obtido na licitação, mediante a comprovação dos fatos previstos no artigo 124, inciso II, alínea “d”, da Lei nº 14.133/2021, conforme cláusula décima primeira.</w:t>
      </w:r>
    </w:p>
    <w:p w14:paraId="51D12919">
      <w:pPr>
        <w:jc w:val="both"/>
        <w:rPr>
          <w:color w:val="000000"/>
        </w:rPr>
      </w:pPr>
    </w:p>
    <w:p w14:paraId="27872459">
      <w:pPr>
        <w:jc w:val="both"/>
        <w:rPr>
          <w:color w:val="000000"/>
        </w:rPr>
      </w:pPr>
      <w:r>
        <w:rPr>
          <w:b/>
        </w:rPr>
        <w:t>11.2.</w:t>
      </w:r>
      <w:r>
        <w:rPr>
          <w:b/>
          <w:color w:val="000000"/>
        </w:rPr>
        <w:t>5.</w:t>
      </w:r>
      <w:r>
        <w:rPr>
          <w:color w:val="000000"/>
        </w:rPr>
        <w:t xml:space="preserve"> Os preços registrados poderão ser revisados para reestabelecer o equilíbrio econômico-financeiro quando, por motivo superveniente, restarem inviáveis de serem praticados em razão de força maior, caso fortuito, fato do príncipe ou fatos imprevisíveis ou previsíveis de consequências incalculáveis. </w:t>
      </w:r>
    </w:p>
    <w:p w14:paraId="068A2275">
      <w:pPr>
        <w:jc w:val="both"/>
        <w:rPr>
          <w:color w:val="000000"/>
        </w:rPr>
      </w:pPr>
    </w:p>
    <w:p w14:paraId="7C5897D9">
      <w:pPr>
        <w:jc w:val="both"/>
        <w:rPr>
          <w:color w:val="000000"/>
        </w:rPr>
      </w:pPr>
      <w:r>
        <w:rPr>
          <w:b/>
        </w:rPr>
        <w:t>11.2.</w:t>
      </w:r>
      <w:r>
        <w:rPr>
          <w:b/>
          <w:color w:val="000000"/>
        </w:rPr>
        <w:t>6.</w:t>
      </w:r>
      <w:r>
        <w:rPr>
          <w:color w:val="000000"/>
        </w:rPr>
        <w:t xml:space="preserve"> Os fornecedores que não aceitarem reduzir seus preços aos valores praticados pelo mercado serão liberados do compromisso assumido, sem aplicação de penalidade. </w:t>
      </w:r>
    </w:p>
    <w:p w14:paraId="6DC66C9F">
      <w:pPr>
        <w:jc w:val="both"/>
        <w:rPr>
          <w:color w:val="000000"/>
        </w:rPr>
      </w:pPr>
    </w:p>
    <w:p w14:paraId="7041F549">
      <w:pPr>
        <w:jc w:val="both"/>
        <w:rPr>
          <w:color w:val="000000"/>
        </w:rPr>
      </w:pPr>
      <w:r>
        <w:rPr>
          <w:b/>
        </w:rPr>
        <w:t>11.2.</w:t>
      </w:r>
      <w:r>
        <w:rPr>
          <w:b/>
          <w:color w:val="000000"/>
        </w:rPr>
        <w:t>7.</w:t>
      </w:r>
      <w:r>
        <w:rPr>
          <w:color w:val="000000"/>
        </w:rPr>
        <w:t xml:space="preserve"> O pedido de revisão de preços será processado e julgado pelo Órgão Gerenciador. </w:t>
      </w:r>
    </w:p>
    <w:p w14:paraId="285F2039">
      <w:pPr>
        <w:jc w:val="both"/>
        <w:rPr>
          <w:color w:val="000000"/>
        </w:rPr>
      </w:pPr>
    </w:p>
    <w:p w14:paraId="2D6BF685">
      <w:pPr>
        <w:jc w:val="both"/>
        <w:rPr>
          <w:color w:val="000000"/>
        </w:rPr>
      </w:pPr>
      <w:r>
        <w:rPr>
          <w:b/>
        </w:rPr>
        <w:t>11.2.</w:t>
      </w:r>
      <w:r>
        <w:rPr>
          <w:b/>
          <w:color w:val="000000"/>
        </w:rPr>
        <w:t xml:space="preserve">8. </w:t>
      </w:r>
      <w:r>
        <w:rPr>
          <w:color w:val="000000"/>
        </w:rPr>
        <w:t>Nos casos em que a majoração do preço for pleiteada pela DETENTORA, o ÓRGÃO GERENCIADOR analisará a solicitação de revisão do preço registrado a partir da fundamentação e do conjunto probatório apresentados, em cotejo com pesquisa de mercado atualizada e diligências que se mostrem necessárias para avaliação do pedido, mantendo a economia obtida no procedimento licitatório.</w:t>
      </w:r>
    </w:p>
    <w:p w14:paraId="21DD0FAE">
      <w:pPr>
        <w:jc w:val="both"/>
        <w:rPr>
          <w:color w:val="000000"/>
        </w:rPr>
      </w:pPr>
    </w:p>
    <w:p w14:paraId="38AF4500">
      <w:pPr>
        <w:jc w:val="both"/>
        <w:rPr>
          <w:color w:val="000000"/>
        </w:rPr>
      </w:pPr>
      <w:r>
        <w:rPr>
          <w:b/>
        </w:rPr>
        <w:t>11.2.</w:t>
      </w:r>
      <w:r>
        <w:rPr>
          <w:b/>
          <w:color w:val="000000"/>
        </w:rPr>
        <w:t>9.</w:t>
      </w:r>
      <w:r>
        <w:rPr>
          <w:color w:val="000000"/>
        </w:rPr>
        <w:t xml:space="preserve"> </w:t>
      </w:r>
      <w:r>
        <w:rPr>
          <w:color w:val="000000"/>
          <w:u w:val="single"/>
        </w:rPr>
        <w:t>Após 30 (trinta) dias do aceite do requerimento de revisão pelo ÓRGÃO GERENCIADOR, e sem manifestação conclusiva deste, poderá a DETENTORA comunicar formalmente ao ÓRGÃO GERENCIADOR a recusa de novos pedidos de entrega de bens ou de prestação de serviços.</w:t>
      </w:r>
    </w:p>
    <w:p w14:paraId="36F6F315">
      <w:pPr>
        <w:jc w:val="both"/>
        <w:rPr>
          <w:color w:val="000000"/>
        </w:rPr>
      </w:pPr>
    </w:p>
    <w:p w14:paraId="3AD83D8D">
      <w:pPr>
        <w:jc w:val="both"/>
        <w:rPr>
          <w:color w:val="000000"/>
        </w:rPr>
      </w:pPr>
      <w:r>
        <w:rPr>
          <w:b/>
        </w:rPr>
        <w:t>11.2.</w:t>
      </w:r>
      <w:r>
        <w:rPr>
          <w:b/>
          <w:color w:val="000000"/>
        </w:rPr>
        <w:t>10.</w:t>
      </w:r>
      <w:r>
        <w:rPr>
          <w:color w:val="000000"/>
        </w:rPr>
        <w:t xml:space="preserve"> Durante este prazo de 30 dias, a DETENTORA fica obrigado a manter as condições pactuadas quando da assinatura da ata.</w:t>
      </w:r>
    </w:p>
    <w:p w14:paraId="14BE2AA9">
      <w:pPr>
        <w:jc w:val="both"/>
        <w:rPr>
          <w:color w:val="000000"/>
        </w:rPr>
      </w:pPr>
    </w:p>
    <w:p w14:paraId="5E77401A">
      <w:pPr>
        <w:jc w:val="both"/>
        <w:rPr>
          <w:color w:val="000000"/>
        </w:rPr>
      </w:pPr>
      <w:r>
        <w:rPr>
          <w:b/>
        </w:rPr>
        <w:t>11.2.</w:t>
      </w:r>
      <w:r>
        <w:rPr>
          <w:b/>
          <w:color w:val="000000"/>
        </w:rPr>
        <w:t>11.</w:t>
      </w:r>
      <w:r>
        <w:rPr>
          <w:color w:val="000000"/>
        </w:rPr>
        <w:t xml:space="preserve"> Ocorrendo umas das hipóteses previstas na alínea “d” do inciso II do artigo 124 da Lei n. 14.133/2021, poderá haver a repactuação, reajuste, revisão ou realinhamento, onde deverão ser precedidos de demonstração analítica do aumento dos custos, bem como análise Técnico Contábil do setor Financeiro e Jurídica da Assessoria Jurídica deste Município.</w:t>
      </w:r>
    </w:p>
    <w:p w14:paraId="1FE313D1">
      <w:pPr>
        <w:jc w:val="both"/>
        <w:rPr>
          <w:color w:val="000000"/>
          <w:u w:val="single"/>
        </w:rPr>
      </w:pPr>
    </w:p>
    <w:p w14:paraId="657C01C1">
      <w:pPr>
        <w:jc w:val="both"/>
        <w:rPr>
          <w:color w:val="000000"/>
          <w:u w:val="single"/>
        </w:rPr>
      </w:pPr>
      <w:r>
        <w:rPr>
          <w:b/>
          <w:u w:val="single"/>
        </w:rPr>
        <w:t>11.2.</w:t>
      </w:r>
      <w:r>
        <w:rPr>
          <w:b/>
          <w:color w:val="000000"/>
          <w:u w:val="single"/>
        </w:rPr>
        <w:t>11.1.</w:t>
      </w:r>
      <w:r>
        <w:rPr>
          <w:color w:val="000000"/>
          <w:u w:val="single"/>
        </w:rPr>
        <w:t xml:space="preserve"> O prazo para resposta ao pedido de repactuação de preços, quando for o caso, será de até 30 (trinta) úteis dias prorrogáveis por igual período. (Art. 92 Inciso X da Lei 14.133/2021).</w:t>
      </w:r>
    </w:p>
    <w:p w14:paraId="615C383B">
      <w:pPr>
        <w:jc w:val="both"/>
        <w:rPr>
          <w:color w:val="000000"/>
          <w:u w:val="single"/>
        </w:rPr>
      </w:pPr>
    </w:p>
    <w:p w14:paraId="29E61796">
      <w:pPr>
        <w:jc w:val="both"/>
        <w:rPr>
          <w:color w:val="000000"/>
        </w:rPr>
      </w:pPr>
      <w:r>
        <w:rPr>
          <w:b/>
          <w:u w:val="single"/>
        </w:rPr>
        <w:t>11.2.</w:t>
      </w:r>
      <w:r>
        <w:rPr>
          <w:b/>
          <w:color w:val="000000"/>
          <w:u w:val="single"/>
        </w:rPr>
        <w:t>11.2.</w:t>
      </w:r>
      <w:r>
        <w:rPr>
          <w:color w:val="000000"/>
          <w:u w:val="single"/>
        </w:rPr>
        <w:t xml:space="preserve"> O prazo para resposta ao pedido de restabelecimento do equilíbrio econômico-financeiro, quando for o caso¸ será de até 30 (trinta) úteis dias prorrogáveis por igual período. (Art. 92 Inciso XI da Lei 14.133/2021</w:t>
      </w:r>
      <w:r>
        <w:rPr>
          <w:color w:val="000000"/>
        </w:rPr>
        <w:t>).</w:t>
      </w:r>
    </w:p>
    <w:p w14:paraId="7B239B66">
      <w:pPr>
        <w:jc w:val="both"/>
      </w:pPr>
    </w:p>
    <w:p w14:paraId="200D83F4">
      <w:pPr>
        <w:ind w:right="-5"/>
      </w:pPr>
      <w:r>
        <w:rPr>
          <w:b/>
        </w:rPr>
        <w:t>CLÁUSULA DÉCIMA SEGUNDA – DA VIGÊNCIA:</w:t>
      </w:r>
    </w:p>
    <w:p w14:paraId="418BF0B2">
      <w:pPr>
        <w:autoSpaceDE w:val="0"/>
        <w:jc w:val="both"/>
        <w:rPr>
          <w:b/>
        </w:rPr>
      </w:pPr>
    </w:p>
    <w:p w14:paraId="309DBA53">
      <w:pPr>
        <w:autoSpaceDE w:val="0"/>
        <w:jc w:val="both"/>
      </w:pPr>
      <w:r>
        <w:rPr>
          <w:b/>
        </w:rPr>
        <w:t>12.1</w:t>
      </w:r>
      <w:r>
        <w:t>. O prazo de vigência deste termo de contrato é de 12 (doze) meses, contados da data de sua assinatura, devendo ser observada a existência de créditos orçamentários, podendo ser prorrogado conforme art. 107 da lei 14.133/2021.</w:t>
      </w:r>
    </w:p>
    <w:p w14:paraId="2E01DDF1">
      <w:pPr>
        <w:autoSpaceDE w:val="0"/>
        <w:jc w:val="both"/>
      </w:pPr>
    </w:p>
    <w:p w14:paraId="18AC2D96">
      <w:pPr>
        <w:autoSpaceDE w:val="0"/>
        <w:jc w:val="both"/>
      </w:pPr>
      <w:r>
        <w:rPr>
          <w:b/>
        </w:rPr>
        <w:t>CLÁUSULA DÉCIMA TERCEIRA – DA ALTERAÇÃO DO CONTRATO</w:t>
      </w:r>
      <w:r>
        <w:t>:</w:t>
      </w:r>
    </w:p>
    <w:p w14:paraId="205D8E77">
      <w:pPr>
        <w:autoSpaceDE w:val="0"/>
        <w:jc w:val="both"/>
      </w:pPr>
    </w:p>
    <w:p w14:paraId="402F1CD5">
      <w:pPr>
        <w:autoSpaceDE w:val="0"/>
        <w:jc w:val="both"/>
      </w:pPr>
      <w:r>
        <w:rPr>
          <w:b/>
        </w:rPr>
        <w:t>13.1.</w:t>
      </w:r>
      <w:r>
        <w:t xml:space="preserve"> O contrato poderá ser alterado na forma do artigo 124 e seguintes da Lei nº 14.133/2021 e Decreto Municipal nº 11.685/2023.</w:t>
      </w:r>
    </w:p>
    <w:p w14:paraId="6B7CA720">
      <w:pPr>
        <w:autoSpaceDE w:val="0"/>
        <w:jc w:val="both"/>
      </w:pPr>
    </w:p>
    <w:p w14:paraId="31A9F2B9">
      <w:pPr>
        <w:autoSpaceDE w:val="0"/>
        <w:jc w:val="both"/>
      </w:pPr>
      <w:r>
        <w:rPr>
          <w:b/>
        </w:rPr>
        <w:t>13.2.</w:t>
      </w:r>
      <w:r>
        <w:t xml:space="preserve"> O contratado é obrigado a aceitar, nas mesmas condições contratuais, os acréscimos ou supressões que se fizerem necessários, até o limite de 25% (vinte e cinco por cento) do valor inicial atualizado do contrato.</w:t>
      </w:r>
    </w:p>
    <w:p w14:paraId="5FD16811">
      <w:pPr>
        <w:autoSpaceDE w:val="0"/>
        <w:jc w:val="both"/>
        <w:rPr>
          <w:b/>
        </w:rPr>
      </w:pPr>
    </w:p>
    <w:p w14:paraId="7F922B3D">
      <w:pPr>
        <w:autoSpaceDE w:val="0"/>
        <w:jc w:val="both"/>
      </w:pPr>
      <w:r>
        <w:rPr>
          <w:b/>
        </w:rPr>
        <w:t>13.3.</w:t>
      </w:r>
      <w:r>
        <w:t xml:space="preserve"> Registros que não caracterizam alteração do contrato podem ser realizados por simples apostila, dispensada a celebração de termo aditivo, na forma do artigo 136 da Lei nº 14.133, de 2021.</w:t>
      </w:r>
    </w:p>
    <w:p w14:paraId="2591C5E9">
      <w:pPr>
        <w:autoSpaceDE w:val="0"/>
        <w:jc w:val="both"/>
      </w:pPr>
    </w:p>
    <w:p w14:paraId="64625422">
      <w:pPr>
        <w:autoSpaceDE w:val="0"/>
        <w:jc w:val="both"/>
      </w:pPr>
      <w:r>
        <w:rPr>
          <w:b/>
        </w:rPr>
        <w:t>13.4.</w:t>
      </w:r>
      <w:r>
        <w:t xml:space="preserve"> Durante a vigência do contrato o contratado poderá solicitar a revisão dos preços para manter o equilíbrio econômico-financeiro obtido na licitação, mediante a comprovação dos fatos previstos no artigo 124, inciso II, alínea “d”, da Lei nº 14.133/2021, conforme cláusula décima primeira.</w:t>
      </w:r>
    </w:p>
    <w:p w14:paraId="2B428A0C">
      <w:pPr>
        <w:autoSpaceDE w:val="0"/>
        <w:jc w:val="both"/>
        <w:rPr>
          <w:b/>
        </w:rPr>
      </w:pPr>
    </w:p>
    <w:p w14:paraId="32B6C534">
      <w:pPr>
        <w:autoSpaceDE w:val="0"/>
        <w:jc w:val="both"/>
      </w:pPr>
      <w:r>
        <w:rPr>
          <w:b/>
        </w:rPr>
        <w:t>CLÁUSULA DÉCIMA QUARTA – DA EXTINÇÃO DO CONTRATO</w:t>
      </w:r>
      <w:r>
        <w:t>:</w:t>
      </w:r>
    </w:p>
    <w:p w14:paraId="28B82360">
      <w:pPr>
        <w:autoSpaceDE w:val="0"/>
        <w:jc w:val="both"/>
      </w:pPr>
    </w:p>
    <w:p w14:paraId="3B31D84A">
      <w:pPr>
        <w:autoSpaceDE w:val="0"/>
        <w:jc w:val="both"/>
      </w:pPr>
      <w:r>
        <w:rPr>
          <w:b/>
        </w:rPr>
        <w:t>14.1.</w:t>
      </w:r>
      <w:r>
        <w:t xml:space="preserve"> O contrato se extingue quando cumpridas as obrigações de ambas as partes, ainda que isso ocorra antes do prazo estipulado para tanto.</w:t>
      </w:r>
    </w:p>
    <w:p w14:paraId="0243747D">
      <w:pPr>
        <w:autoSpaceDE w:val="0"/>
        <w:jc w:val="both"/>
      </w:pPr>
    </w:p>
    <w:p w14:paraId="70D89E92">
      <w:pPr>
        <w:autoSpaceDE w:val="0"/>
        <w:jc w:val="both"/>
      </w:pPr>
      <w:r>
        <w:rPr>
          <w:b/>
        </w:rPr>
        <w:t>14.2.</w:t>
      </w:r>
      <w:r>
        <w:t xml:space="preserve"> O presente termo de contrato poderá ser extinto nas hipóteses previstas no rol do artigo 137 da Lei nº 14.133/202, devendo a extinção ser formalmente motivada nos autos do processo, assegurado o contraditório e ampla defesa e respeitados os procedimentos descritos no Decreto Municipal nº 11.685/2023 e nas demais legislações aplicáveis.</w:t>
      </w:r>
    </w:p>
    <w:p w14:paraId="41484BF7">
      <w:pPr>
        <w:autoSpaceDE w:val="0"/>
        <w:jc w:val="both"/>
      </w:pPr>
    </w:p>
    <w:p w14:paraId="0D971621">
      <w:pPr>
        <w:autoSpaceDE w:val="0"/>
        <w:jc w:val="both"/>
      </w:pPr>
      <w:r>
        <w:rPr>
          <w:b/>
        </w:rPr>
        <w:t>14.2.1.</w:t>
      </w:r>
      <w:r>
        <w:t xml:space="preserve"> Nesta hipótese, aplicam-se também os artigos 138 e 139 da Lei 14.133/2021.</w:t>
      </w:r>
    </w:p>
    <w:p w14:paraId="7838A9D4">
      <w:pPr>
        <w:autoSpaceDE w:val="0"/>
        <w:jc w:val="both"/>
      </w:pPr>
    </w:p>
    <w:p w14:paraId="30D832E9">
      <w:pPr>
        <w:autoSpaceDE w:val="0"/>
        <w:jc w:val="both"/>
      </w:pPr>
      <w:r>
        <w:rPr>
          <w:b/>
        </w:rPr>
        <w:t>14.2.2.</w:t>
      </w:r>
      <w:r>
        <w:t xml:space="preserve"> A alteração social ou a modificação da finalidade ou da estrutura da empresa não ensejará a rescisão se não restringir sua capacidade de concluir o contrato.</w:t>
      </w:r>
    </w:p>
    <w:p w14:paraId="7125E916">
      <w:pPr>
        <w:autoSpaceDE w:val="0"/>
        <w:jc w:val="both"/>
      </w:pPr>
    </w:p>
    <w:p w14:paraId="566BE607">
      <w:pPr>
        <w:autoSpaceDE w:val="0"/>
        <w:jc w:val="both"/>
      </w:pPr>
      <w:r>
        <w:rPr>
          <w:b/>
        </w:rPr>
        <w:t>14.2.3.</w:t>
      </w:r>
      <w:r>
        <w:t xml:space="preserve"> Se a operação implicar mudança da pessoa jurídica contratada, deverá ser formalizado termo aditivo para alteração subjetiva.</w:t>
      </w:r>
    </w:p>
    <w:p w14:paraId="04649042">
      <w:pPr>
        <w:autoSpaceDE w:val="0"/>
        <w:jc w:val="both"/>
      </w:pPr>
    </w:p>
    <w:p w14:paraId="20FEF52B">
      <w:pPr>
        <w:autoSpaceDE w:val="0"/>
        <w:jc w:val="both"/>
      </w:pPr>
      <w:r>
        <w:rPr>
          <w:b/>
        </w:rPr>
        <w:t>14.3.</w:t>
      </w:r>
      <w:r>
        <w:t xml:space="preserve"> A extinção determinada por ato unilateral da Administração e a extinção consensual deverão ser precedidas de autorização escrita e fundamentada da autoridade competente e reduzidas a termo no respectivo processo.</w:t>
      </w:r>
    </w:p>
    <w:p w14:paraId="70102725">
      <w:pPr>
        <w:autoSpaceDE w:val="0"/>
        <w:jc w:val="both"/>
      </w:pPr>
    </w:p>
    <w:p w14:paraId="36BA9CF2">
      <w:pPr>
        <w:autoSpaceDE w:val="0"/>
        <w:jc w:val="both"/>
      </w:pPr>
      <w:r>
        <w:rPr>
          <w:b/>
        </w:rPr>
        <w:t>14.4.</w:t>
      </w:r>
      <w:r>
        <w:t xml:space="preserve"> 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3023B5F9">
      <w:pPr>
        <w:autoSpaceDE w:val="0"/>
        <w:jc w:val="both"/>
      </w:pPr>
    </w:p>
    <w:p w14:paraId="6508E4ED">
      <w:pPr>
        <w:autoSpaceDE w:val="0"/>
        <w:jc w:val="both"/>
      </w:pPr>
      <w:r>
        <w:rPr>
          <w:b/>
        </w:rPr>
        <w:t>14.5.</w:t>
      </w:r>
      <w:r>
        <w:t xml:space="preserve"> A extinção do contrato não configura óbice para o reconhecimento do desequilíbrio econômico-financeiro, hipótese em que será concedida indenização por meio de termo indenizatório (art. 131, </w:t>
      </w:r>
      <w:r>
        <w:rPr>
          <w:i/>
          <w:iCs/>
        </w:rPr>
        <w:t xml:space="preserve">caput, </w:t>
      </w:r>
      <w:r>
        <w:t>da Lei nº 14.133, de 2021).</w:t>
      </w:r>
    </w:p>
    <w:p w14:paraId="16DEB825">
      <w:pPr>
        <w:autoSpaceDE w:val="0"/>
        <w:jc w:val="both"/>
      </w:pPr>
    </w:p>
    <w:p w14:paraId="2BDF3ED7">
      <w:pPr>
        <w:autoSpaceDE w:val="0"/>
        <w:jc w:val="both"/>
      </w:pPr>
      <w:r>
        <w:rPr>
          <w:b/>
        </w:rPr>
        <w:t>CLÁUSULA DÉCIMA QUINTA – DA FISCALIZAÇÃO E GESTÃO DO CONTRATO</w:t>
      </w:r>
      <w:r>
        <w:t>:</w:t>
      </w:r>
    </w:p>
    <w:p w14:paraId="2F607962">
      <w:pPr>
        <w:autoSpaceDE w:val="0"/>
        <w:jc w:val="both"/>
      </w:pPr>
      <w:r>
        <w:rPr>
          <w:b/>
        </w:rPr>
        <w:t>15.1.</w:t>
      </w:r>
      <w:r>
        <w:t xml:space="preserve"> Será designado, pelo contratante, um servidor qualificado ou uma comissão para exercer a fiscalização e acompanhamento do contrato, que terá, dentre outras, a incumbência de informar as ocorrências relevantes verificadas na execução contratual, inclusive quanto a eventuais atrasos e descumprimentos de cláusulas contratuais; solicitar ao contratado documentos exigidos para o fornecimento do bem, correção de falhas na execução contratual, cumprimento da legislação aplicável, e, sendo o caso, determinar a substituição de produtos defeituosos; informar as autoridades competentes a ocorrência de ilegalidades e irregularidades que constatar;</w:t>
      </w:r>
    </w:p>
    <w:p w14:paraId="231D6352">
      <w:pPr>
        <w:autoSpaceDE w:val="0"/>
        <w:jc w:val="both"/>
      </w:pPr>
    </w:p>
    <w:p w14:paraId="3977F58A">
      <w:pPr>
        <w:autoSpaceDE w:val="0"/>
        <w:jc w:val="both"/>
      </w:pPr>
      <w:r>
        <w:rPr>
          <w:b/>
        </w:rPr>
        <w:t>15.2</w:t>
      </w:r>
      <w:r>
        <w:t>. A execução do contrato deverá ser acompanhada e fiscalizada por um ou mais fiscais de contratos, representantes da Administração especialmente designados, nos termos do art. 117 da Lei nº 14.133/2021.</w:t>
      </w:r>
    </w:p>
    <w:p w14:paraId="4A13842D">
      <w:pPr>
        <w:autoSpaceDE w:val="0"/>
        <w:jc w:val="both"/>
      </w:pPr>
    </w:p>
    <w:p w14:paraId="69C29267">
      <w:pPr>
        <w:autoSpaceDE w:val="0"/>
        <w:jc w:val="both"/>
      </w:pPr>
      <w:r>
        <w:rPr>
          <w:b/>
        </w:rPr>
        <w:t xml:space="preserve">15.3. </w:t>
      </w:r>
      <w:r>
        <w:t>A fiscalização exercida pelo contratante na entrega dos bens não exclui a responsabilidade do contratado, por quaisquer irregularidades resultantes de imperfeições técnicas, vícios redibitórios, ou emprego de material inadequado ou de qualidade inferior e, na ocorrência deste, não implica co-responsabilidade do contratante ou de seus agentes e prepostos.</w:t>
      </w:r>
    </w:p>
    <w:p w14:paraId="68777460">
      <w:pPr>
        <w:autoSpaceDE w:val="0"/>
        <w:jc w:val="both"/>
      </w:pPr>
    </w:p>
    <w:p w14:paraId="49B8637C">
      <w:pPr>
        <w:autoSpaceDE w:val="0"/>
        <w:jc w:val="both"/>
      </w:pPr>
      <w:r>
        <w:rPr>
          <w:b/>
        </w:rPr>
        <w:t>15.4.</w:t>
      </w:r>
      <w:r>
        <w:t xml:space="preserve"> Em caso de impedimento, ordem de paralisação ou suspensão do contrato, o cronograma de execução será prorrogado automaticamente pelo tempo correspondente, anotadas tais circunstâncias mediante simples apostilamento.</w:t>
      </w:r>
    </w:p>
    <w:p w14:paraId="41CD795E">
      <w:pPr>
        <w:autoSpaceDE w:val="0"/>
        <w:jc w:val="both"/>
      </w:pPr>
    </w:p>
    <w:p w14:paraId="02B5E584">
      <w:pPr>
        <w:autoSpaceDE w:val="0"/>
        <w:jc w:val="both"/>
      </w:pPr>
      <w:r>
        <w:rPr>
          <w:b/>
        </w:rPr>
        <w:t>15.5.</w:t>
      </w:r>
      <w:r>
        <w:t xml:space="preserve"> A execução do contrato deverá ser acompanhada e fiscalizada pelo(s) fiscal(is) do contrato, ou, em caso de afastamentos legais, pelos respectivos substitutos.</w:t>
      </w:r>
    </w:p>
    <w:p w14:paraId="1732AEAE">
      <w:pPr>
        <w:autoSpaceDE w:val="0"/>
        <w:jc w:val="both"/>
      </w:pPr>
    </w:p>
    <w:p w14:paraId="0E6405C2">
      <w:pPr>
        <w:autoSpaceDE w:val="0"/>
        <w:jc w:val="both"/>
      </w:pPr>
      <w:r>
        <w:rPr>
          <w:b/>
        </w:rPr>
        <w:t>15.6.</w:t>
      </w:r>
      <w:r>
        <w:t xml:space="preserve"> Os gestores e fiscais de contrato devem ser previamente designados, por portaria geral ou específica, conforme Decreto Municipal nº 11.685/2023 e cientificados de forma expressa, preferencialmente por meio eletrônico, bem como os titulares e substitutos.</w:t>
      </w:r>
    </w:p>
    <w:p w14:paraId="2E3DA4F7">
      <w:pPr>
        <w:autoSpaceDE w:val="0"/>
        <w:jc w:val="both"/>
      </w:pPr>
    </w:p>
    <w:p w14:paraId="0DEE6822">
      <w:pPr>
        <w:autoSpaceDE w:val="0"/>
        <w:jc w:val="both"/>
      </w:pPr>
      <w:r>
        <w:rPr>
          <w:b/>
        </w:rPr>
        <w:t>15.7.</w:t>
      </w:r>
      <w:r>
        <w:t xml:space="preserve"> Não obstante o contratado seja o único e exclusivo responsável pela execução do Contrato, o contratante reserva-se o direito de, sem que de qualquer forma restrinja a plenitude dessa responsabilidade, exercer a mais ampla e completa fiscalização sobre a execução do objeto contratado.</w:t>
      </w:r>
    </w:p>
    <w:p w14:paraId="0E1D9002">
      <w:pPr>
        <w:jc w:val="both"/>
      </w:pPr>
    </w:p>
    <w:p w14:paraId="385609E7">
      <w:pPr>
        <w:jc w:val="both"/>
      </w:pPr>
    </w:p>
    <w:p w14:paraId="57C6C466">
      <w:pPr>
        <w:jc w:val="both"/>
      </w:pPr>
      <w:r>
        <w:rPr>
          <w:b/>
        </w:rPr>
        <w:t xml:space="preserve">CLÁUSULA DÉCIMA SEXTA - DAS INFRAÇÕES E SANÇÕES ADMINISTRATIVAS: </w:t>
      </w:r>
    </w:p>
    <w:p w14:paraId="7F6962F4">
      <w:pPr>
        <w:autoSpaceDE w:val="0"/>
        <w:jc w:val="both"/>
        <w:rPr>
          <w:b/>
        </w:rPr>
      </w:pPr>
    </w:p>
    <w:p w14:paraId="09062C0C">
      <w:pPr>
        <w:autoSpaceDE w:val="0"/>
        <w:jc w:val="both"/>
      </w:pPr>
      <w:r>
        <w:rPr>
          <w:b/>
        </w:rPr>
        <w:t>16.1.</w:t>
      </w:r>
      <w:r>
        <w:t xml:space="preserve"> Comete infração administrativa, nos termos da Lei nº 14.133/2021 (art. 155) e do Decreto Municipal nº 11.685/2023 o contratado que:</w:t>
      </w:r>
    </w:p>
    <w:p w14:paraId="4CD47025">
      <w:pPr>
        <w:autoSpaceDE w:val="0"/>
        <w:jc w:val="both"/>
      </w:pPr>
    </w:p>
    <w:p w14:paraId="0CDF2698">
      <w:pPr>
        <w:autoSpaceDE w:val="0"/>
        <w:jc w:val="both"/>
      </w:pPr>
      <w:r>
        <w:rPr>
          <w:b/>
        </w:rPr>
        <w:t>16.1.1.</w:t>
      </w:r>
      <w:r>
        <w:t xml:space="preserve"> Dar causa à inexecução parcial do contrato que cause grave dano à Administração, ao funcionamento dos serviços públicos ou ao interesse coletivo.</w:t>
      </w:r>
    </w:p>
    <w:p w14:paraId="6DF3F725">
      <w:pPr>
        <w:autoSpaceDE w:val="0"/>
        <w:jc w:val="both"/>
      </w:pPr>
      <w:r>
        <w:rPr>
          <w:b/>
        </w:rPr>
        <w:t>16.1.2.</w:t>
      </w:r>
      <w:r>
        <w:t xml:space="preserve"> Dar causa à inexecução total do contrato. </w:t>
      </w:r>
    </w:p>
    <w:p w14:paraId="435D44D8">
      <w:pPr>
        <w:autoSpaceDE w:val="0"/>
        <w:jc w:val="both"/>
      </w:pPr>
    </w:p>
    <w:p w14:paraId="6C26FCCA">
      <w:pPr>
        <w:autoSpaceDE w:val="0"/>
        <w:jc w:val="both"/>
      </w:pPr>
      <w:r>
        <w:rPr>
          <w:b/>
        </w:rPr>
        <w:t>16.1.3.</w:t>
      </w:r>
      <w:r>
        <w:t xml:space="preserve"> Não celebrar o contrato ou não entregar a documentação exigida para a contratação, quando convocado dentro do prazo de validade de sua proposta.</w:t>
      </w:r>
    </w:p>
    <w:p w14:paraId="1B4E6A00">
      <w:pPr>
        <w:autoSpaceDE w:val="0"/>
        <w:jc w:val="both"/>
      </w:pPr>
      <w:r>
        <w:rPr>
          <w:b/>
        </w:rPr>
        <w:t>16.1.4.</w:t>
      </w:r>
      <w:r>
        <w:t xml:space="preserve"> Ensejar o retardamento da execução ou da entrega do objeto da licitação sem motivo justificado.</w:t>
      </w:r>
    </w:p>
    <w:p w14:paraId="2A453D7F">
      <w:pPr>
        <w:autoSpaceDE w:val="0"/>
        <w:jc w:val="both"/>
        <w:rPr>
          <w:b/>
        </w:rPr>
      </w:pPr>
    </w:p>
    <w:p w14:paraId="3D54ED28">
      <w:pPr>
        <w:autoSpaceDE w:val="0"/>
        <w:jc w:val="both"/>
      </w:pPr>
      <w:r>
        <w:rPr>
          <w:b/>
        </w:rPr>
        <w:t>16.1.5.</w:t>
      </w:r>
      <w:r>
        <w:t xml:space="preserve"> Apresentar declaração ou documentação falsa exigida para o certame ou prestar declaração falsa durante a licitação ou a execução do contrato.</w:t>
      </w:r>
    </w:p>
    <w:p w14:paraId="7E1ADDF6">
      <w:pPr>
        <w:autoSpaceDE w:val="0"/>
        <w:jc w:val="both"/>
      </w:pPr>
      <w:r>
        <w:rPr>
          <w:b/>
        </w:rPr>
        <w:t xml:space="preserve">16.1.6. </w:t>
      </w:r>
      <w:r>
        <w:t>Fraudar a licitação ou praticar ato fraudulento na execução do contrato.</w:t>
      </w:r>
    </w:p>
    <w:p w14:paraId="67C21CAD">
      <w:pPr>
        <w:autoSpaceDE w:val="0"/>
        <w:jc w:val="both"/>
      </w:pPr>
    </w:p>
    <w:p w14:paraId="1CD311DC">
      <w:pPr>
        <w:autoSpaceDE w:val="0"/>
        <w:jc w:val="both"/>
      </w:pPr>
      <w:r>
        <w:rPr>
          <w:b/>
        </w:rPr>
        <w:t>16.1.7.</w:t>
      </w:r>
      <w:r>
        <w:t xml:space="preserve"> Comportar-se de modo inidôneo ou cometer fraude de qualquer natureza.</w:t>
      </w:r>
    </w:p>
    <w:p w14:paraId="6860E5CF">
      <w:pPr>
        <w:autoSpaceDE w:val="0"/>
        <w:jc w:val="both"/>
      </w:pPr>
    </w:p>
    <w:p w14:paraId="685D1B93">
      <w:pPr>
        <w:autoSpaceDE w:val="0"/>
        <w:jc w:val="both"/>
      </w:pPr>
      <w:r>
        <w:rPr>
          <w:b/>
        </w:rPr>
        <w:t>16.1.8.</w:t>
      </w:r>
      <w:r>
        <w:t xml:space="preserve"> Praticar atos ilícitos com vistas a frustrar os objetivos da licitação.</w:t>
      </w:r>
    </w:p>
    <w:p w14:paraId="56F7CD63">
      <w:pPr>
        <w:autoSpaceDE w:val="0"/>
        <w:jc w:val="both"/>
      </w:pPr>
    </w:p>
    <w:p w14:paraId="7B8F39E2">
      <w:pPr>
        <w:autoSpaceDE w:val="0"/>
        <w:jc w:val="both"/>
      </w:pPr>
      <w:r>
        <w:rPr>
          <w:b/>
        </w:rPr>
        <w:t>16.1.9.</w:t>
      </w:r>
      <w:r>
        <w:t xml:space="preserve"> Praticar ato lesivo previsto no art. 5º, da Lei nº 12.846/2013.</w:t>
      </w:r>
    </w:p>
    <w:p w14:paraId="40AC9B06">
      <w:pPr>
        <w:autoSpaceDE w:val="0"/>
        <w:jc w:val="both"/>
      </w:pPr>
    </w:p>
    <w:p w14:paraId="38C3FBD6">
      <w:pPr>
        <w:autoSpaceDE w:val="0"/>
        <w:jc w:val="both"/>
      </w:pPr>
      <w:r>
        <w:rPr>
          <w:b/>
        </w:rPr>
        <w:t>16.2.</w:t>
      </w:r>
      <w:r>
        <w:t xml:space="preserve"> Serão aplicadas ao contratado que incorrer nas infrações acima descritas as seguintes sanções:</w:t>
      </w:r>
    </w:p>
    <w:p w14:paraId="51A12598">
      <w:pPr>
        <w:autoSpaceDE w:val="0"/>
        <w:jc w:val="both"/>
      </w:pPr>
    </w:p>
    <w:p w14:paraId="2E2C24CB">
      <w:pPr>
        <w:autoSpaceDE w:val="0"/>
        <w:jc w:val="both"/>
      </w:pPr>
      <w:r>
        <w:rPr>
          <w:b/>
        </w:rPr>
        <w:t>16.2.1.</w:t>
      </w:r>
      <w:r>
        <w:t xml:space="preserve"> Advertência, quando o contratado der causa à inexecução parcial do contrato que não implique em prejuízo ou dano à administração, bem como na hipótese de descumprimento de pequena relevância praticado pelo contratado e que não justifique imposição de penalidade mais grave;</w:t>
      </w:r>
    </w:p>
    <w:p w14:paraId="6E8C3AC9">
      <w:pPr>
        <w:autoSpaceDE w:val="0"/>
        <w:jc w:val="both"/>
      </w:pPr>
    </w:p>
    <w:p w14:paraId="14B83652">
      <w:pPr>
        <w:autoSpaceDE w:val="0"/>
        <w:jc w:val="both"/>
      </w:pPr>
      <w:r>
        <w:rPr>
          <w:b/>
        </w:rPr>
        <w:t>16.2.2.</w:t>
      </w:r>
      <w:r>
        <w:t xml:space="preserve"> Multa:</w:t>
      </w:r>
    </w:p>
    <w:p w14:paraId="7A08A0A8">
      <w:pPr>
        <w:autoSpaceDE w:val="0"/>
        <w:jc w:val="both"/>
      </w:pPr>
    </w:p>
    <w:p w14:paraId="38084810">
      <w:pPr>
        <w:autoSpaceDE w:val="0"/>
        <w:jc w:val="both"/>
      </w:pPr>
      <w:r>
        <w:rPr>
          <w:b/>
        </w:rPr>
        <w:t>16.2.2.1.</w:t>
      </w:r>
      <w:r>
        <w:t xml:space="preserve"> Moratória: em razão do atraso injustificado: na proporção de 5 % (cinco por cento) do valor da parcela inadimplida por dia de atraso injustificado até o limite de 30 (trinta) dias corridos.</w:t>
      </w:r>
    </w:p>
    <w:p w14:paraId="30C1718B">
      <w:pPr>
        <w:autoSpaceDE w:val="0"/>
        <w:jc w:val="both"/>
      </w:pPr>
    </w:p>
    <w:p w14:paraId="082DB246">
      <w:pPr>
        <w:autoSpaceDE w:val="0"/>
        <w:jc w:val="both"/>
      </w:pPr>
      <w:r>
        <w:rPr>
          <w:b/>
        </w:rPr>
        <w:t>16.2.2.1.1</w:t>
      </w:r>
      <w:r>
        <w:t>. O atraso superior a 30 (trinta) dias autoriza a Administração a promover a extinção do contrato por descumprimento ou cumprimento irregular de suas cláusulas, conforme dispõe o inciso I do art. 137 da Lei n.</w:t>
      </w:r>
    </w:p>
    <w:p w14:paraId="5C1CD390">
      <w:pPr>
        <w:autoSpaceDE w:val="0"/>
        <w:jc w:val="both"/>
      </w:pPr>
      <w:r>
        <w:t>14.133, de 2021.</w:t>
      </w:r>
    </w:p>
    <w:p w14:paraId="58ED14A0">
      <w:pPr>
        <w:autoSpaceDE w:val="0"/>
        <w:jc w:val="both"/>
      </w:pPr>
    </w:p>
    <w:p w14:paraId="1A3D2BBF">
      <w:pPr>
        <w:autoSpaceDE w:val="0"/>
        <w:jc w:val="both"/>
      </w:pPr>
      <w:r>
        <w:rPr>
          <w:b/>
        </w:rPr>
        <w:t>16.2.2.2.</w:t>
      </w:r>
      <w:r>
        <w:t xml:space="preserve"> Compensatória: será aplicada multa de 0,5% até 30% sobre o valor do contrato, devendo a autoridade competente observar, na dosimetria da pena, as seguintes recomendações:</w:t>
      </w:r>
    </w:p>
    <w:p w14:paraId="37C40E43">
      <w:pPr>
        <w:autoSpaceDE w:val="0"/>
        <w:jc w:val="both"/>
      </w:pPr>
    </w:p>
    <w:p w14:paraId="7763EBF0">
      <w:pPr>
        <w:autoSpaceDE w:val="0"/>
        <w:jc w:val="both"/>
      </w:pPr>
      <w:r>
        <w:rPr>
          <w:b/>
        </w:rPr>
        <w:t xml:space="preserve">16.2.2.2.1. </w:t>
      </w:r>
      <w:r>
        <w:t xml:space="preserve">Em casos de inexecução parcial do contrato, que cause grave dano à Administração, ao funcionamento dos serviços públicos ou ao interesse coletivo (ítem 16.1.1), bem como quantos aos itens: 16.1.3 e 16.1.4, a multa será de 0,5% a 15% do valor do contrato licitado. </w:t>
      </w:r>
    </w:p>
    <w:p w14:paraId="54A07A2A">
      <w:pPr>
        <w:autoSpaceDE w:val="0"/>
        <w:jc w:val="both"/>
      </w:pPr>
    </w:p>
    <w:p w14:paraId="191759C5">
      <w:pPr>
        <w:autoSpaceDE w:val="0"/>
        <w:jc w:val="both"/>
      </w:pPr>
      <w:r>
        <w:rPr>
          <w:b/>
        </w:rPr>
        <w:t>16.2.2.2.2.</w:t>
      </w:r>
      <w:r>
        <w:t xml:space="preserve"> Em casos de inexecução total do contrato (ítem 16.1.2), bem como quanto aos itens: 16.1.5; 16.1.6; 16.1.7; 16.1.8 e 16.1.9) nas hipóteses de atos fraudulentos com o objetivo de obter vantagens indevidas, a multa será fixada entre 15% a 30% do valor do contrato licitado. </w:t>
      </w:r>
    </w:p>
    <w:p w14:paraId="2FDB87F9">
      <w:pPr>
        <w:autoSpaceDE w:val="0"/>
        <w:jc w:val="both"/>
      </w:pPr>
    </w:p>
    <w:p w14:paraId="13FC3825">
      <w:pPr>
        <w:autoSpaceDE w:val="0"/>
        <w:jc w:val="both"/>
      </w:pPr>
      <w:r>
        <w:rPr>
          <w:b/>
        </w:rPr>
        <w:t>16.2.2.2.3.</w:t>
      </w:r>
      <w:r>
        <w:t xml:space="preserve"> No caso de inexecução total, a multa será aplicada independentemente da existência ou não do prejuízo ao contratante, implicando ainda na possibilidade de rescisão do contrato.</w:t>
      </w:r>
    </w:p>
    <w:p w14:paraId="4E02B15E">
      <w:pPr>
        <w:autoSpaceDE w:val="0"/>
        <w:jc w:val="both"/>
      </w:pPr>
    </w:p>
    <w:p w14:paraId="585B3964">
      <w:pPr>
        <w:autoSpaceDE w:val="0"/>
        <w:jc w:val="both"/>
      </w:pPr>
      <w:r>
        <w:rPr>
          <w:b/>
        </w:rPr>
        <w:t>16.2.2.3.</w:t>
      </w:r>
      <w:r>
        <w:t xml:space="preserve"> Antes da aplicação da multa será facultada a defesa do interessado no prazo de 15 (quinze) dias úteis, contado da data de sua intimação.</w:t>
      </w:r>
    </w:p>
    <w:p w14:paraId="3EB58DCA">
      <w:pPr>
        <w:autoSpaceDE w:val="0"/>
        <w:jc w:val="both"/>
      </w:pPr>
    </w:p>
    <w:p w14:paraId="560D5DC4">
      <w:pPr>
        <w:autoSpaceDE w:val="0"/>
        <w:jc w:val="both"/>
      </w:pPr>
      <w:r>
        <w:rPr>
          <w:b/>
        </w:rPr>
        <w:t>16.2.2.4.</w:t>
      </w:r>
      <w:r>
        <w:t xml:space="preserve"> Se a multa aplicada e as indenizações cabíveis forem superiores ao valor do pagamento eventualmente devido pelo contratante ao contratado, além da perda desse valor, a diferença será descontada da garantia prestada ou será cobrada judicialmente.</w:t>
      </w:r>
    </w:p>
    <w:p w14:paraId="59D30ACF">
      <w:pPr>
        <w:autoSpaceDE w:val="0"/>
        <w:jc w:val="both"/>
      </w:pPr>
    </w:p>
    <w:p w14:paraId="1052828A">
      <w:pPr>
        <w:autoSpaceDE w:val="0"/>
        <w:jc w:val="both"/>
      </w:pPr>
      <w:r>
        <w:rPr>
          <w:b/>
        </w:rPr>
        <w:t>16.2.2.5.</w:t>
      </w:r>
      <w:r>
        <w:t xml:space="preserve"> Caso o contratado não tenha nenhum valor a receber do contratante, ou os valores do pagamento e da garantia contratual forem insuficientes, o contratante concederá o prazo de 05 (cinco) dias úteis, contados do recebimento de sua intimação, para que a multa seja paga.</w:t>
      </w:r>
    </w:p>
    <w:p w14:paraId="4866ABB8">
      <w:pPr>
        <w:autoSpaceDE w:val="0"/>
        <w:jc w:val="both"/>
      </w:pPr>
    </w:p>
    <w:p w14:paraId="25D6858A">
      <w:pPr>
        <w:autoSpaceDE w:val="0"/>
        <w:jc w:val="both"/>
      </w:pPr>
      <w:r>
        <w:rPr>
          <w:b/>
        </w:rPr>
        <w:t>16.2.2.6.</w:t>
      </w:r>
      <w:r>
        <w:t xml:space="preserve"> Esgotados os meios administrativos para a cobrança dos valores devidos, o contratante providenciará o encaminhamento do processo à Procuradoria-Geral do Município para que seja realizada a cobrança judicial.</w:t>
      </w:r>
    </w:p>
    <w:p w14:paraId="31CDD4DA">
      <w:pPr>
        <w:autoSpaceDE w:val="0"/>
        <w:jc w:val="both"/>
      </w:pPr>
    </w:p>
    <w:p w14:paraId="406B813E">
      <w:pPr>
        <w:autoSpaceDE w:val="0"/>
        <w:jc w:val="both"/>
      </w:pPr>
      <w:r>
        <w:rPr>
          <w:b/>
        </w:rPr>
        <w:t>16.2.2.7.</w:t>
      </w:r>
      <w:r>
        <w:t xml:space="preserve"> Caso o contratante tenha de recorrer ou comparecer a juízo para haver o que lhe for devido, o contratado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7749FD63">
      <w:pPr>
        <w:autoSpaceDE w:val="0"/>
        <w:jc w:val="both"/>
      </w:pPr>
    </w:p>
    <w:p w14:paraId="6C8AC54F">
      <w:pPr>
        <w:autoSpaceDE w:val="0"/>
        <w:jc w:val="both"/>
      </w:pPr>
      <w:r>
        <w:rPr>
          <w:b/>
        </w:rPr>
        <w:t>16.2.2.8.</w:t>
      </w:r>
      <w:r>
        <w:t xml:space="preserve"> A aplicação de multa de mora não impedirá que a Administração a converta em compensatória e promova a extinção unilateral do contrato com a aplicação cumulada de outras sanções previstas na Lei 14.133/2021.</w:t>
      </w:r>
    </w:p>
    <w:p w14:paraId="22C05BC4">
      <w:pPr>
        <w:autoSpaceDE w:val="0"/>
        <w:jc w:val="both"/>
      </w:pPr>
    </w:p>
    <w:p w14:paraId="488D2F9E">
      <w:pPr>
        <w:autoSpaceDE w:val="0"/>
        <w:jc w:val="both"/>
      </w:pPr>
      <w:r>
        <w:rPr>
          <w:b/>
        </w:rPr>
        <w:t>16.2.3.</w:t>
      </w:r>
      <w:r>
        <w:t xml:space="preserve"> Impedimento de licitar e contratar, caso não se justifique imposição de penalidade mais grave.</w:t>
      </w:r>
    </w:p>
    <w:p w14:paraId="6CF88DFF">
      <w:pPr>
        <w:autoSpaceDE w:val="0"/>
        <w:jc w:val="both"/>
      </w:pPr>
    </w:p>
    <w:p w14:paraId="6B6889D3">
      <w:pPr>
        <w:autoSpaceDE w:val="0"/>
        <w:jc w:val="both"/>
      </w:pPr>
      <w:r>
        <w:rPr>
          <w:b/>
        </w:rPr>
        <w:t>16.2.3.1.</w:t>
      </w:r>
      <w:r>
        <w:t xml:space="preserve"> Essa penalidade poderá ser aplicada nas seguintes hipóteses:</w:t>
      </w:r>
    </w:p>
    <w:p w14:paraId="247C6428">
      <w:pPr>
        <w:autoSpaceDE w:val="0"/>
        <w:jc w:val="both"/>
      </w:pPr>
    </w:p>
    <w:p w14:paraId="531B19CA">
      <w:pPr>
        <w:autoSpaceDE w:val="0"/>
        <w:jc w:val="both"/>
      </w:pPr>
      <w:r>
        <w:rPr>
          <w:b/>
        </w:rPr>
        <w:t>16.2.3.1.1.</w:t>
      </w:r>
      <w:r>
        <w:t xml:space="preserve"> Der causa à inexecução parcial do contrato que cause grave dano à Administração, ao funcionamento dos serviços públicos ou ao interesse coletivo;</w:t>
      </w:r>
    </w:p>
    <w:p w14:paraId="55CCA24D">
      <w:pPr>
        <w:autoSpaceDE w:val="0"/>
        <w:jc w:val="both"/>
      </w:pPr>
    </w:p>
    <w:p w14:paraId="51B92A41">
      <w:pPr>
        <w:autoSpaceDE w:val="0"/>
        <w:jc w:val="both"/>
      </w:pPr>
      <w:r>
        <w:rPr>
          <w:b/>
        </w:rPr>
        <w:t>16.2.3.1.2</w:t>
      </w:r>
      <w:r>
        <w:t>. Der causa à inexecução total do contrato;</w:t>
      </w:r>
    </w:p>
    <w:p w14:paraId="4796F194">
      <w:pPr>
        <w:autoSpaceDE w:val="0"/>
        <w:jc w:val="both"/>
      </w:pPr>
    </w:p>
    <w:p w14:paraId="04BE9F2C">
      <w:pPr>
        <w:autoSpaceDE w:val="0"/>
        <w:jc w:val="both"/>
      </w:pPr>
      <w:r>
        <w:rPr>
          <w:b/>
        </w:rPr>
        <w:t>16.2.3.1.3</w:t>
      </w:r>
      <w:r>
        <w:t>. Deixar de entregar a documentação exigida para o certame;</w:t>
      </w:r>
    </w:p>
    <w:p w14:paraId="1FED1DBF">
      <w:pPr>
        <w:autoSpaceDE w:val="0"/>
        <w:jc w:val="both"/>
      </w:pPr>
    </w:p>
    <w:p w14:paraId="669AFC28">
      <w:pPr>
        <w:autoSpaceDE w:val="0"/>
        <w:jc w:val="both"/>
      </w:pPr>
      <w:r>
        <w:rPr>
          <w:b/>
        </w:rPr>
        <w:t>16.2.3.1.4</w:t>
      </w:r>
      <w:r>
        <w:t>. Não manter a proposta, salvo em decorrência de fato superveniente devidamente justificado;</w:t>
      </w:r>
    </w:p>
    <w:p w14:paraId="6346ABFB">
      <w:pPr>
        <w:autoSpaceDE w:val="0"/>
        <w:jc w:val="both"/>
      </w:pPr>
    </w:p>
    <w:p w14:paraId="3D2C9D45">
      <w:pPr>
        <w:autoSpaceDE w:val="0"/>
        <w:jc w:val="both"/>
      </w:pPr>
      <w:r>
        <w:rPr>
          <w:b/>
        </w:rPr>
        <w:t>16.2.3.1.5.</w:t>
      </w:r>
      <w:r>
        <w:t xml:space="preserve"> Não celebrar o contrato ou não entregar a documentação exigida para a contratação, quando convocado dentro do prazo de validade de sua proposta;</w:t>
      </w:r>
    </w:p>
    <w:p w14:paraId="739A364E">
      <w:pPr>
        <w:autoSpaceDE w:val="0"/>
        <w:jc w:val="both"/>
      </w:pPr>
    </w:p>
    <w:p w14:paraId="7E225128">
      <w:pPr>
        <w:autoSpaceDE w:val="0"/>
        <w:jc w:val="both"/>
      </w:pPr>
      <w:r>
        <w:rPr>
          <w:b/>
        </w:rPr>
        <w:t>16.2.3.1.6.</w:t>
      </w:r>
      <w:r>
        <w:t xml:space="preserve"> Ensejar o retardamento da execução ou da entrega do objeto da licitação sem motivo justificado.</w:t>
      </w:r>
    </w:p>
    <w:p w14:paraId="0590716F">
      <w:pPr>
        <w:autoSpaceDE w:val="0"/>
        <w:jc w:val="both"/>
      </w:pPr>
    </w:p>
    <w:p w14:paraId="115C5338">
      <w:pPr>
        <w:autoSpaceDE w:val="0"/>
        <w:jc w:val="both"/>
      </w:pPr>
      <w:r>
        <w:rPr>
          <w:b/>
        </w:rPr>
        <w:t>16.2.4.</w:t>
      </w:r>
      <w:r>
        <w:t xml:space="preserve"> As condutas aqui enumeradas também podem justificar a aplicação da declaração de inidoneidade quando as circunstâncias do caso concreto justificarem a imposição de penalidade mais grave.</w:t>
      </w:r>
    </w:p>
    <w:p w14:paraId="1DF13F0C">
      <w:pPr>
        <w:autoSpaceDE w:val="0"/>
        <w:jc w:val="both"/>
      </w:pPr>
    </w:p>
    <w:p w14:paraId="4B0C6F93">
      <w:pPr>
        <w:autoSpaceDE w:val="0"/>
        <w:jc w:val="both"/>
      </w:pPr>
      <w:r>
        <w:rPr>
          <w:b/>
        </w:rPr>
        <w:t>16.2.4.1.</w:t>
      </w:r>
      <w:r>
        <w:t xml:space="preserve"> Declaração de inidoneidade para licitar e contratar.</w:t>
      </w:r>
    </w:p>
    <w:p w14:paraId="3721276E">
      <w:pPr>
        <w:autoSpaceDE w:val="0"/>
        <w:jc w:val="both"/>
      </w:pPr>
    </w:p>
    <w:p w14:paraId="0DF27650">
      <w:pPr>
        <w:autoSpaceDE w:val="0"/>
        <w:jc w:val="both"/>
      </w:pPr>
      <w:r>
        <w:rPr>
          <w:b/>
        </w:rPr>
        <w:t>16.2.4.2.</w:t>
      </w:r>
      <w:r>
        <w:t xml:space="preserve"> A declaração de inidoneidade para licitar e contratar pode ser aplicada por qualquer ente da federação impedirá o responsável de licitar e contratar com a Administração Pública direta e indireta do município de Rondonópolis-MT pelo prazo mínimo de 3 (três) anos e máximo de 6 (seis) anos.</w:t>
      </w:r>
    </w:p>
    <w:p w14:paraId="29B19C40">
      <w:pPr>
        <w:autoSpaceDE w:val="0"/>
        <w:jc w:val="both"/>
      </w:pPr>
    </w:p>
    <w:p w14:paraId="1DC41E24">
      <w:pPr>
        <w:autoSpaceDE w:val="0"/>
        <w:jc w:val="both"/>
      </w:pPr>
      <w:r>
        <w:rPr>
          <w:b/>
        </w:rPr>
        <w:t>16.2.4.2.1</w:t>
      </w:r>
      <w:r>
        <w:t>. Essa penalidade poderá ser aplicada nas seguintes hipóteses:</w:t>
      </w:r>
    </w:p>
    <w:p w14:paraId="07C50B38">
      <w:pPr>
        <w:autoSpaceDE w:val="0"/>
        <w:jc w:val="both"/>
      </w:pPr>
    </w:p>
    <w:p w14:paraId="2D4C2967">
      <w:pPr>
        <w:autoSpaceDE w:val="0"/>
        <w:jc w:val="both"/>
      </w:pPr>
      <w:r>
        <w:rPr>
          <w:b/>
        </w:rPr>
        <w:t>16.2.4.2.1.</w:t>
      </w:r>
      <w:r>
        <w:t xml:space="preserve"> Apresentar declaração ou documentação falsa exigida para o certame ou prestar declaração falsa durante a licitação ou a execução do contrato;</w:t>
      </w:r>
    </w:p>
    <w:p w14:paraId="5DDD27E3">
      <w:pPr>
        <w:autoSpaceDE w:val="0"/>
        <w:jc w:val="both"/>
      </w:pPr>
    </w:p>
    <w:p w14:paraId="085016A5">
      <w:pPr>
        <w:autoSpaceDE w:val="0"/>
        <w:jc w:val="both"/>
      </w:pPr>
      <w:r>
        <w:rPr>
          <w:b/>
        </w:rPr>
        <w:t>16.2.4.2.3.</w:t>
      </w:r>
      <w:r>
        <w:t xml:space="preserve"> Fraudar a licitação ou praticar ato fraudulento na execução do contrato;</w:t>
      </w:r>
    </w:p>
    <w:p w14:paraId="03816FFE">
      <w:pPr>
        <w:autoSpaceDE w:val="0"/>
        <w:jc w:val="both"/>
      </w:pPr>
    </w:p>
    <w:p w14:paraId="17B211A8">
      <w:pPr>
        <w:autoSpaceDE w:val="0"/>
        <w:jc w:val="both"/>
      </w:pPr>
      <w:r>
        <w:rPr>
          <w:b/>
        </w:rPr>
        <w:t>16.2.4.2.4.</w:t>
      </w:r>
      <w:r>
        <w:t xml:space="preserve"> Comportar-se de modo inidôneo ou cometer fraude de qualquer natureza;</w:t>
      </w:r>
    </w:p>
    <w:p w14:paraId="255C1E38">
      <w:pPr>
        <w:autoSpaceDE w:val="0"/>
        <w:jc w:val="both"/>
      </w:pPr>
    </w:p>
    <w:p w14:paraId="5A00090F">
      <w:pPr>
        <w:autoSpaceDE w:val="0"/>
        <w:jc w:val="both"/>
      </w:pPr>
      <w:r>
        <w:rPr>
          <w:b/>
        </w:rPr>
        <w:t>16.2.4.2.5.</w:t>
      </w:r>
      <w:r>
        <w:t xml:space="preserve"> Praticar atos ilícitos com vistas a frustrar os objetivos da licitação;</w:t>
      </w:r>
    </w:p>
    <w:p w14:paraId="4E685F90">
      <w:pPr>
        <w:autoSpaceDE w:val="0"/>
        <w:jc w:val="both"/>
      </w:pPr>
    </w:p>
    <w:p w14:paraId="1526EC5C">
      <w:pPr>
        <w:autoSpaceDE w:val="0"/>
        <w:jc w:val="both"/>
      </w:pPr>
      <w:r>
        <w:rPr>
          <w:b/>
        </w:rPr>
        <w:t>16.2.4.2.6.</w:t>
      </w:r>
      <w:r>
        <w:t xml:space="preserve"> Praticar ato lesivo previsto no art. 5º da Lei nº 12.846/2013.</w:t>
      </w:r>
    </w:p>
    <w:p w14:paraId="2ED389D3">
      <w:pPr>
        <w:autoSpaceDE w:val="0"/>
        <w:jc w:val="both"/>
      </w:pPr>
    </w:p>
    <w:p w14:paraId="11463F1F">
      <w:pPr>
        <w:autoSpaceDE w:val="0"/>
        <w:jc w:val="both"/>
      </w:pPr>
      <w:r>
        <w:rPr>
          <w:b/>
        </w:rPr>
        <w:t>16.3.</w:t>
      </w:r>
      <w:r>
        <w:t xml:space="preserve"> Todas as sanções previstas neste Contrato poderão ser aplicadas cumulativamente com a multa (art. 156, §7º, da Lei nº 14.133, de 2021).</w:t>
      </w:r>
    </w:p>
    <w:p w14:paraId="4EF0367E">
      <w:pPr>
        <w:autoSpaceDE w:val="0"/>
        <w:jc w:val="both"/>
      </w:pPr>
    </w:p>
    <w:p w14:paraId="70675C62">
      <w:pPr>
        <w:autoSpaceDE w:val="0"/>
        <w:jc w:val="both"/>
      </w:pPr>
      <w:r>
        <w:rPr>
          <w:b/>
        </w:rPr>
        <w:t>16.4.</w:t>
      </w:r>
      <w:r>
        <w:t xml:space="preserve"> A aplicação das sanções previstas neste Contrato não exclui, em hipótese alguma, a obrigação de reparação integral do dano causado ao contratante (art. 156, §9º, da Lei nº 14.133, de 2021).</w:t>
      </w:r>
    </w:p>
    <w:p w14:paraId="485008EC">
      <w:pPr>
        <w:autoSpaceDE w:val="0"/>
        <w:jc w:val="both"/>
      </w:pPr>
    </w:p>
    <w:p w14:paraId="4173202C">
      <w:pPr>
        <w:autoSpaceDE w:val="0"/>
        <w:jc w:val="both"/>
      </w:pPr>
      <w:r>
        <w:rPr>
          <w:b/>
        </w:rPr>
        <w:t>16.5.</w:t>
      </w:r>
      <w:r>
        <w:t xml:space="preserve"> A aplicação de qualquer das penalidades previstas realizar-se-á em processo administrativo que assegurará o contraditório e a ampla defesa, observando-se o procedimento previsto na Lei nº 14.133/2021 e no Decreto Municipal nº 11.685/2023.</w:t>
      </w:r>
    </w:p>
    <w:p w14:paraId="78A61B09">
      <w:pPr>
        <w:autoSpaceDE w:val="0"/>
        <w:jc w:val="both"/>
      </w:pPr>
      <w:r>
        <w:t xml:space="preserve"> </w:t>
      </w:r>
    </w:p>
    <w:p w14:paraId="17682D6B">
      <w:pPr>
        <w:autoSpaceDE w:val="0"/>
        <w:jc w:val="both"/>
      </w:pPr>
      <w:r>
        <w:rPr>
          <w:b/>
        </w:rPr>
        <w:t>16.6.</w:t>
      </w:r>
      <w:r>
        <w:t xml:space="preserve"> A autoridade competente, na aplicação das sanções, levará em consideração:</w:t>
      </w:r>
    </w:p>
    <w:p w14:paraId="12A3332C">
      <w:pPr>
        <w:autoSpaceDE w:val="0"/>
        <w:jc w:val="both"/>
      </w:pPr>
    </w:p>
    <w:p w14:paraId="19EED589">
      <w:pPr>
        <w:autoSpaceDE w:val="0"/>
        <w:jc w:val="both"/>
      </w:pPr>
      <w:r>
        <w:rPr>
          <w:b/>
        </w:rPr>
        <w:t>16.6.1.</w:t>
      </w:r>
      <w:r>
        <w:t xml:space="preserve"> a natureza e a gravidade da infração cometida; </w:t>
      </w:r>
    </w:p>
    <w:p w14:paraId="7A82A53C">
      <w:pPr>
        <w:autoSpaceDE w:val="0"/>
        <w:jc w:val="both"/>
      </w:pPr>
    </w:p>
    <w:p w14:paraId="0109DF0B">
      <w:pPr>
        <w:autoSpaceDE w:val="0"/>
        <w:jc w:val="both"/>
      </w:pPr>
      <w:r>
        <w:rPr>
          <w:b/>
        </w:rPr>
        <w:t>16.6.2.</w:t>
      </w:r>
      <w:r>
        <w:t xml:space="preserve"> as peculiaridades do caso concreto;</w:t>
      </w:r>
    </w:p>
    <w:p w14:paraId="3B4FFC93">
      <w:pPr>
        <w:autoSpaceDE w:val="0"/>
        <w:jc w:val="both"/>
      </w:pPr>
    </w:p>
    <w:p w14:paraId="0C83D8E9">
      <w:pPr>
        <w:autoSpaceDE w:val="0"/>
        <w:jc w:val="both"/>
      </w:pPr>
      <w:r>
        <w:rPr>
          <w:b/>
        </w:rPr>
        <w:t>16.6.3.</w:t>
      </w:r>
      <w:r>
        <w:t xml:space="preserve"> as circunstâncias agravantes ou atenuantes;</w:t>
      </w:r>
    </w:p>
    <w:p w14:paraId="39250ABB">
      <w:pPr>
        <w:autoSpaceDE w:val="0"/>
        <w:jc w:val="both"/>
        <w:rPr>
          <w:b/>
        </w:rPr>
      </w:pPr>
    </w:p>
    <w:p w14:paraId="5D198897">
      <w:pPr>
        <w:autoSpaceDE w:val="0"/>
        <w:jc w:val="both"/>
      </w:pPr>
      <w:r>
        <w:rPr>
          <w:b/>
        </w:rPr>
        <w:t>16.6.4.</w:t>
      </w:r>
      <w:r>
        <w:t xml:space="preserve"> os danos que dela provierem para o contratante;</w:t>
      </w:r>
    </w:p>
    <w:p w14:paraId="3799EED5">
      <w:pPr>
        <w:autoSpaceDE w:val="0"/>
        <w:jc w:val="both"/>
      </w:pPr>
      <w:r>
        <w:rPr>
          <w:b/>
        </w:rPr>
        <w:t>16.6.5.</w:t>
      </w:r>
      <w:r>
        <w:t xml:space="preserve"> a implantação ou o aperfeiçoamento de programa de integridade, conforme normas e orientações dos órgãos de controle.</w:t>
      </w:r>
    </w:p>
    <w:p w14:paraId="276C4363">
      <w:pPr>
        <w:autoSpaceDE w:val="0"/>
        <w:jc w:val="both"/>
      </w:pPr>
    </w:p>
    <w:p w14:paraId="7F61F6EA">
      <w:pPr>
        <w:autoSpaceDE w:val="0"/>
        <w:jc w:val="both"/>
      </w:pPr>
      <w:r>
        <w:rPr>
          <w:b/>
        </w:rPr>
        <w:t>16.7.</w:t>
      </w:r>
      <w:r>
        <w:t xml:space="preserve"> 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e nos demais regulamentos complementares.</w:t>
      </w:r>
    </w:p>
    <w:p w14:paraId="6C4A79EC">
      <w:pPr>
        <w:autoSpaceDE w:val="0"/>
        <w:jc w:val="both"/>
      </w:pPr>
    </w:p>
    <w:p w14:paraId="003449F3">
      <w:pPr>
        <w:autoSpaceDE w:val="0"/>
        <w:jc w:val="both"/>
      </w:pPr>
      <w:r>
        <w:rPr>
          <w:b/>
        </w:rPr>
        <w:t>16.8.</w:t>
      </w:r>
      <w:r>
        <w:t xml:space="preserve"> 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7105A273">
      <w:pPr>
        <w:autoSpaceDE w:val="0"/>
        <w:jc w:val="both"/>
      </w:pPr>
    </w:p>
    <w:p w14:paraId="0036184F">
      <w:pPr>
        <w:autoSpaceDE w:val="0"/>
        <w:jc w:val="both"/>
      </w:pPr>
      <w:r>
        <w:rPr>
          <w:b/>
        </w:rPr>
        <w:t>16.9.</w:t>
      </w:r>
      <w:r>
        <w:t xml:space="preserve"> As sanções de impedimento de licitar e contratar e declaração de inidoneidade para licitar ou contratar são passíveis de reabilitação na forma do art. 163 da Lei nº 14.133/2021.</w:t>
      </w:r>
    </w:p>
    <w:p w14:paraId="364F3A3C">
      <w:pPr>
        <w:jc w:val="both"/>
      </w:pPr>
    </w:p>
    <w:p w14:paraId="1879D7BB">
      <w:pPr>
        <w:autoSpaceDE w:val="0"/>
        <w:jc w:val="both"/>
      </w:pPr>
      <w:r>
        <w:rPr>
          <w:b/>
        </w:rPr>
        <w:t>CLÁUSULA DÉCIMA SÉTIMA – CLÁUSULA ANTICORRUPÇÃO:</w:t>
      </w:r>
    </w:p>
    <w:p w14:paraId="1555F12F">
      <w:pPr>
        <w:autoSpaceDE w:val="0"/>
        <w:jc w:val="both"/>
        <w:rPr>
          <w:b/>
        </w:rPr>
      </w:pPr>
    </w:p>
    <w:p w14:paraId="1D126028">
      <w:pPr>
        <w:autoSpaceDE w:val="0"/>
        <w:jc w:val="both"/>
      </w:pPr>
      <w:r>
        <w:rPr>
          <w:b/>
        </w:rPr>
        <w:t>17.1.</w:t>
      </w:r>
      <w: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seja de forma direta ou indireta quanto ao objeto deste contrato, ou de outra forma a ele não relacionada, o que deve ser observado, ainda, pelos prepostos e colaboradores.</w:t>
      </w:r>
    </w:p>
    <w:p w14:paraId="64FFAE54">
      <w:pPr>
        <w:autoSpaceDE w:val="0"/>
        <w:jc w:val="both"/>
      </w:pPr>
    </w:p>
    <w:p w14:paraId="3FCFB783">
      <w:pPr>
        <w:tabs>
          <w:tab w:val="left" w:pos="426"/>
        </w:tabs>
        <w:autoSpaceDE w:val="0"/>
        <w:jc w:val="both"/>
      </w:pPr>
      <w:r>
        <w:rPr>
          <w:b/>
        </w:rPr>
        <w:t>17.2.</w:t>
      </w:r>
      <w:r>
        <w:t xml:space="preserve"> Consta em anexo do contrato o Termo Anticorrupção (Anexo), expresso pelo contratado, declarando formalmente que a condução de seus negócios segue estritamente a legislação aplicável, a moral e a ética.</w:t>
      </w:r>
    </w:p>
    <w:p w14:paraId="1EC0051E">
      <w:pPr>
        <w:autoSpaceDE w:val="0"/>
        <w:jc w:val="both"/>
      </w:pPr>
    </w:p>
    <w:p w14:paraId="47911249">
      <w:pPr>
        <w:autoSpaceDE w:val="0"/>
        <w:jc w:val="both"/>
      </w:pPr>
      <w:r>
        <w:rPr>
          <w:b/>
        </w:rPr>
        <w:t>CLÁUSULA DÉCIMA OITAVA – DA NULIDADE DO CONTRATO:</w:t>
      </w:r>
    </w:p>
    <w:p w14:paraId="237751D0">
      <w:pPr>
        <w:autoSpaceDE w:val="0"/>
        <w:jc w:val="both"/>
        <w:rPr>
          <w:b/>
        </w:rPr>
      </w:pPr>
    </w:p>
    <w:p w14:paraId="338A637E">
      <w:pPr>
        <w:autoSpaceDE w:val="0"/>
        <w:jc w:val="both"/>
      </w:pPr>
      <w:r>
        <w:rPr>
          <w:b/>
        </w:rPr>
        <w:t>18.1.</w:t>
      </w:r>
      <w:r>
        <w:t xml:space="preserve"> Constatada irregularidade no procedimento licitatório ou na execução contratual, caso não seja possível o saneamento, a decisão sobre a suspensão da execução ou sobre a declaração de nulidade do contrato somente será adotada quando revelar medida de interesse público, com avaliação, entre outros, dos aspectos descritos no art. 147 da Lei nº 14.133/2021.</w:t>
      </w:r>
    </w:p>
    <w:p w14:paraId="5F17A4D3">
      <w:pPr>
        <w:autoSpaceDE w:val="0"/>
        <w:jc w:val="both"/>
      </w:pPr>
    </w:p>
    <w:p w14:paraId="291B1A81">
      <w:pPr>
        <w:autoSpaceDE w:val="0"/>
        <w:jc w:val="both"/>
      </w:pPr>
      <w:r>
        <w:rPr>
          <w:b/>
        </w:rPr>
        <w:t>18.2.</w:t>
      </w:r>
      <w:r>
        <w:t xml:space="preserve"> A nulidade não exonera o contratante do dever de indenizar o contratado pelo que houver executado até a data em que for declarada ou tornada eficaz, bem como por outros prejuízos regularmente comprovados, desde que não lhe seja imputável, e será promovida a responsabilização de quem lhe tenha dado causa, nos termos do que estabelece o art. 149 da Lei nº 14.133/2021.</w:t>
      </w:r>
    </w:p>
    <w:p w14:paraId="0FD49744">
      <w:pPr>
        <w:autoSpaceDE w:val="0"/>
        <w:jc w:val="both"/>
      </w:pPr>
    </w:p>
    <w:p w14:paraId="69BBBB5B">
      <w:pPr>
        <w:ind w:right="-5"/>
        <w:jc w:val="both"/>
      </w:pPr>
      <w:r>
        <w:rPr>
          <w:b/>
        </w:rPr>
        <w:t>CLÁUSULA DÉCIMA NONA – GARANTIA DE EXECUÇÃO</w:t>
      </w:r>
      <w:r>
        <w:t xml:space="preserve"> </w:t>
      </w:r>
    </w:p>
    <w:p w14:paraId="07AD8592">
      <w:pPr>
        <w:ind w:right="-5"/>
        <w:jc w:val="both"/>
      </w:pPr>
      <w:r>
        <w:rPr>
          <w:b/>
        </w:rPr>
        <w:t>19.1.</w:t>
      </w:r>
      <w:r>
        <w:t xml:space="preserve"> Não haverá exigência de garantia contratual da execução, considerando, conforme análise de riscos, o baixo risco para a contratação.</w:t>
      </w:r>
    </w:p>
    <w:p w14:paraId="26E9ED29">
      <w:pPr>
        <w:ind w:right="-5"/>
        <w:jc w:val="both"/>
        <w:rPr>
          <w:b/>
        </w:rPr>
      </w:pPr>
    </w:p>
    <w:p w14:paraId="773BFD6E">
      <w:pPr>
        <w:ind w:right="-5"/>
        <w:jc w:val="both"/>
      </w:pPr>
      <w:r>
        <w:rPr>
          <w:b/>
        </w:rPr>
        <w:t>CLÁUSULA VIGÉSIMA – GARANTIA DO OBJETO</w:t>
      </w:r>
    </w:p>
    <w:p w14:paraId="5376665C">
      <w:pPr>
        <w:ind w:right="-5"/>
        <w:jc w:val="both"/>
        <w:rPr>
          <w:b/>
        </w:rPr>
      </w:pPr>
    </w:p>
    <w:p w14:paraId="0041CBF1">
      <w:pPr>
        <w:jc w:val="both"/>
      </w:pPr>
      <w:r>
        <w:rPr>
          <w:b/>
        </w:rPr>
        <w:t>20.1</w:t>
      </w:r>
      <w:r>
        <w:t xml:space="preserve"> A Contratada se obriga a garantir os equipamentos eletrônicos e sistemas pelo período de 12 (doze) meses, contados da data do recebimento do(s) mesmo(s), quando o material ainda não for aplicado e estiver em estoque.</w:t>
      </w:r>
    </w:p>
    <w:p w14:paraId="77397AF8">
      <w:pPr>
        <w:jc w:val="both"/>
      </w:pPr>
    </w:p>
    <w:p w14:paraId="732F728E">
      <w:pPr>
        <w:jc w:val="both"/>
      </w:pPr>
      <w:r>
        <w:rPr>
          <w:b/>
        </w:rPr>
        <w:t>20.2</w:t>
      </w:r>
      <w:r>
        <w:t xml:space="preserve"> Os prazos de garantia iniciarão a partir da data da emissão do termo de recebimento definitivo dos produtos/serviços pelo Contratante.</w:t>
      </w:r>
    </w:p>
    <w:p w14:paraId="7E4AA08D">
      <w:pPr>
        <w:jc w:val="both"/>
      </w:pPr>
    </w:p>
    <w:p w14:paraId="0FFE41E1">
      <w:pPr>
        <w:jc w:val="both"/>
      </w:pPr>
      <w:r>
        <w:rPr>
          <w:b/>
        </w:rPr>
        <w:t>20.3</w:t>
      </w:r>
      <w:r>
        <w:t xml:space="preserve"> Caso seja detectado defeitos ou falhas sistemáticas em determinados produtos entregues pela Contratada ou ainda em testes realizados seja considerado em desacordo com as especificações técnicas requeridas, o Contratante poderá exigir a substituição do produto total ou parcial no prazo de até 5 (cinco) dias úteis a partir da Notificação.</w:t>
      </w:r>
    </w:p>
    <w:p w14:paraId="28320392">
      <w:pPr>
        <w:jc w:val="both"/>
      </w:pPr>
    </w:p>
    <w:p w14:paraId="21BFBFAC">
      <w:pPr>
        <w:jc w:val="both"/>
      </w:pPr>
      <w:r>
        <w:rPr>
          <w:b/>
        </w:rPr>
        <w:t>20.4</w:t>
      </w:r>
      <w:r>
        <w:t xml:space="preserve"> Todas as despesas que ocorrerem no período de garantia, tais como: conserto, substituição de peças, transporte, mão de obra e manutenção dos materiais, no caso de apresentar(em) imperfeição(ões), correrão por conta da CONTRATADA, não cabendo ao CONTRATANTE quaisquer ônus.</w:t>
      </w:r>
    </w:p>
    <w:p w14:paraId="5428F5D6">
      <w:pPr>
        <w:jc w:val="both"/>
        <w:rPr>
          <w:b/>
        </w:rPr>
      </w:pPr>
    </w:p>
    <w:p w14:paraId="426BF01A">
      <w:pPr>
        <w:ind w:right="-5"/>
        <w:jc w:val="both"/>
      </w:pPr>
      <w:r>
        <w:rPr>
          <w:b/>
        </w:rPr>
        <w:t>CLÁUSULA VIGÉSIMA PRIMEIRA – DO DIREITO DE PETIÇÃO:</w:t>
      </w:r>
    </w:p>
    <w:p w14:paraId="41E6FBB9">
      <w:pPr>
        <w:ind w:right="-5"/>
        <w:jc w:val="both"/>
      </w:pPr>
    </w:p>
    <w:p w14:paraId="5553BFB9">
      <w:pPr>
        <w:ind w:right="-5"/>
        <w:jc w:val="both"/>
      </w:pPr>
      <w:r>
        <w:rPr>
          <w:b/>
        </w:rPr>
        <w:t>21.</w:t>
      </w:r>
      <w:r>
        <w:rPr>
          <w:rStyle w:val="207"/>
          <w:rFonts w:eastAsia="Calibri"/>
          <w:b/>
        </w:rPr>
        <w:t>1</w:t>
      </w:r>
      <w:r>
        <w:rPr>
          <w:rStyle w:val="207"/>
          <w:rFonts w:eastAsia="Calibri"/>
        </w:rPr>
        <w:t>. No tocante a recursos, representações e pedidos de reconsideração, deverá ser observado o disposto no art. 164 da Lei nº 14.133/2021.</w:t>
      </w:r>
    </w:p>
    <w:p w14:paraId="08EEFC0B">
      <w:pPr>
        <w:jc w:val="both"/>
      </w:pPr>
    </w:p>
    <w:p w14:paraId="5347F1AF">
      <w:pPr>
        <w:ind w:right="-5"/>
      </w:pPr>
      <w:r>
        <w:rPr>
          <w:b/>
        </w:rPr>
        <w:t>CLÁUSULA VIGÉSIMA SEGUNDA - DAS DISPOSIÇÕES GERAIS:</w:t>
      </w:r>
    </w:p>
    <w:p w14:paraId="0A0FAF8D">
      <w:pPr>
        <w:ind w:right="-5"/>
        <w:jc w:val="both"/>
        <w:rPr>
          <w:b/>
        </w:rPr>
      </w:pPr>
    </w:p>
    <w:p w14:paraId="16CE7A0F">
      <w:pPr>
        <w:ind w:right="-5"/>
        <w:jc w:val="both"/>
      </w:pPr>
      <w:r>
        <w:rPr>
          <w:rStyle w:val="207"/>
          <w:rFonts w:eastAsia="Calibri"/>
          <w:b/>
        </w:rPr>
        <w:t xml:space="preserve">22.1. DOS FUNDAMENTOS LEGAIS E DA SUJEIÇÃO ÀS NORMAS LEGAIS E CONTRATUAIS: </w:t>
      </w:r>
    </w:p>
    <w:p w14:paraId="0A2D5005">
      <w:pPr>
        <w:ind w:left="708" w:right="-5"/>
        <w:jc w:val="both"/>
      </w:pPr>
    </w:p>
    <w:p w14:paraId="076376A2">
      <w:pPr>
        <w:ind w:left="708" w:right="-5"/>
        <w:jc w:val="both"/>
      </w:pPr>
      <w:r>
        <w:rPr>
          <w:rStyle w:val="207"/>
          <w:rFonts w:eastAsia="Calibri"/>
          <w:b/>
        </w:rPr>
        <w:t>22.1.1.</w:t>
      </w:r>
      <w:r>
        <w:rPr>
          <w:rStyle w:val="207"/>
          <w:rFonts w:eastAsia="Calibri"/>
        </w:rPr>
        <w:t xml:space="preserve"> A legislação aplicável a este Contrato é a constante do </w:t>
      </w:r>
      <w:r>
        <w:t xml:space="preserve">Decreto Municipal nº 11.685/2023 </w:t>
      </w:r>
      <w:r>
        <w:rPr>
          <w:rStyle w:val="207"/>
          <w:rFonts w:eastAsia="Calibri"/>
        </w:rPr>
        <w:t xml:space="preserve">e a Lei nº 14.133/21 e demais disposições aplicáveis as Licitações e Contratos Administrativos.  </w:t>
      </w:r>
    </w:p>
    <w:p w14:paraId="0DCADBC7">
      <w:pPr>
        <w:ind w:left="708" w:right="-5"/>
        <w:jc w:val="both"/>
      </w:pPr>
    </w:p>
    <w:p w14:paraId="3A5E1A3D">
      <w:pPr>
        <w:ind w:left="709" w:right="-5" w:hanging="142"/>
        <w:jc w:val="both"/>
        <w:rPr>
          <w:rStyle w:val="207"/>
          <w:rFonts w:eastAsia="Calibri"/>
        </w:rPr>
      </w:pPr>
      <w:r>
        <w:rPr>
          <w:rStyle w:val="207"/>
          <w:b/>
        </w:rPr>
        <w:t xml:space="preserve">   </w:t>
      </w:r>
      <w:r>
        <w:rPr>
          <w:rStyle w:val="207"/>
          <w:rFonts w:eastAsia="Calibri"/>
          <w:b/>
        </w:rPr>
        <w:t>22.1.2.</w:t>
      </w:r>
      <w:r>
        <w:rPr>
          <w:rStyle w:val="207"/>
          <w:rFonts w:eastAsia="Calibri"/>
        </w:rPr>
        <w:t xml:space="preserve"> Os casos omissos que se tornarem controvertidos em face das cláusulas do presente contrato serão   resolvidos segundo os princípios jurídicos aplicáveis, e entendimentos dos tribunais de contas.</w:t>
      </w:r>
    </w:p>
    <w:p w14:paraId="27AE7307">
      <w:pPr>
        <w:ind w:left="709" w:right="-5" w:hanging="142"/>
        <w:jc w:val="both"/>
      </w:pPr>
    </w:p>
    <w:p w14:paraId="69177E91">
      <w:pPr>
        <w:ind w:left="708" w:right="-5"/>
        <w:jc w:val="both"/>
      </w:pPr>
      <w:r>
        <w:rPr>
          <w:rStyle w:val="207"/>
          <w:rFonts w:eastAsia="Calibri"/>
          <w:b/>
        </w:rPr>
        <w:t>22.1.3.</w:t>
      </w:r>
      <w:r>
        <w:rPr>
          <w:rStyle w:val="207"/>
          <w:rFonts w:eastAsia="Calibri"/>
        </w:rPr>
        <w:t xml:space="preserve"> Após a assinatura deste Contrato, toda comunicação entre o </w:t>
      </w:r>
      <w:r>
        <w:rPr>
          <w:rStyle w:val="207"/>
          <w:rFonts w:eastAsia="Calibri"/>
          <w:b/>
        </w:rPr>
        <w:t>CONTRATANTE</w:t>
      </w:r>
      <w:r>
        <w:rPr>
          <w:rStyle w:val="207"/>
          <w:rFonts w:eastAsia="Calibri"/>
        </w:rPr>
        <w:t xml:space="preserve"> e a </w:t>
      </w:r>
      <w:r>
        <w:rPr>
          <w:rStyle w:val="207"/>
          <w:rFonts w:eastAsia="Calibri"/>
          <w:b/>
        </w:rPr>
        <w:t>CONTRATADA</w:t>
      </w:r>
      <w:r>
        <w:rPr>
          <w:rStyle w:val="207"/>
          <w:rFonts w:eastAsia="Calibri"/>
        </w:rPr>
        <w:t xml:space="preserve"> será feita através de correspondência devidamente registrada. </w:t>
      </w:r>
    </w:p>
    <w:p w14:paraId="455F6A40">
      <w:pPr>
        <w:ind w:left="708" w:right="-5"/>
        <w:jc w:val="both"/>
      </w:pPr>
    </w:p>
    <w:p w14:paraId="787BF077">
      <w:pPr>
        <w:ind w:left="708" w:right="-5"/>
        <w:jc w:val="both"/>
      </w:pPr>
      <w:r>
        <w:rPr>
          <w:rStyle w:val="207"/>
          <w:rFonts w:eastAsia="Calibri"/>
          <w:b/>
        </w:rPr>
        <w:t>22.1.4.</w:t>
      </w:r>
      <w:r>
        <w:rPr>
          <w:rStyle w:val="207"/>
          <w:rFonts w:eastAsia="Calibri"/>
        </w:rPr>
        <w:t xml:space="preserve"> Qualquer alteração nas condições ora estipuladas neste Contrato deverá ser feita através de Termo Aditivo, assinado pelos representantes legais das partes. </w:t>
      </w:r>
    </w:p>
    <w:p w14:paraId="45C4EF8E">
      <w:pPr>
        <w:ind w:right="-5"/>
        <w:jc w:val="both"/>
      </w:pPr>
    </w:p>
    <w:p w14:paraId="2F26EAD6">
      <w:pPr>
        <w:ind w:right="-5"/>
        <w:jc w:val="both"/>
      </w:pPr>
      <w:r>
        <w:rPr>
          <w:b/>
        </w:rPr>
        <w:t>CLÁUSULA VIGÉSIMA TERCEIRA – DA VINCULAÇÃO AO EDITAL:</w:t>
      </w:r>
    </w:p>
    <w:p w14:paraId="030BDBD4">
      <w:pPr>
        <w:ind w:right="-5"/>
        <w:jc w:val="both"/>
        <w:rPr>
          <w:b/>
          <w:u w:val="words"/>
        </w:rPr>
      </w:pPr>
    </w:p>
    <w:p w14:paraId="78FCFD73">
      <w:pPr>
        <w:ind w:right="-5"/>
        <w:jc w:val="both"/>
      </w:pPr>
      <w:r>
        <w:rPr>
          <w:b/>
        </w:rPr>
        <w:t>23.1.</w:t>
      </w:r>
      <w:r>
        <w:rPr>
          <w:b/>
          <w:u w:val="words"/>
        </w:rPr>
        <w:t xml:space="preserve"> </w:t>
      </w:r>
      <w:r>
        <w:t xml:space="preserve">O presente </w:t>
      </w:r>
      <w:r>
        <w:rPr>
          <w:b/>
        </w:rPr>
        <w:t>CONTRATO</w:t>
      </w:r>
      <w:r>
        <w:t xml:space="preserve"> fica vinculado aos termos do </w:t>
      </w:r>
      <w:r>
        <w:rPr>
          <w:b/>
        </w:rPr>
        <w:t xml:space="preserve">Edital de Pregão, Termo de Referência e todos os anexos que os acompanham </w:t>
      </w:r>
      <w:r>
        <w:t xml:space="preserve">e à proposta da </w:t>
      </w:r>
      <w:r>
        <w:rPr>
          <w:bCs/>
        </w:rPr>
        <w:t>CONTRATADA.</w:t>
      </w:r>
    </w:p>
    <w:p w14:paraId="1C940FC8">
      <w:pPr>
        <w:ind w:right="-5"/>
        <w:jc w:val="both"/>
        <w:rPr>
          <w:bCs/>
          <w:u w:val="words"/>
        </w:rPr>
      </w:pPr>
    </w:p>
    <w:p w14:paraId="772E1E88">
      <w:pPr>
        <w:ind w:right="-5"/>
        <w:jc w:val="both"/>
      </w:pPr>
      <w:r>
        <w:rPr>
          <w:b/>
        </w:rPr>
        <w:t>CLÁUSULA VIGÉSIMA QUARTA – CASOS OMISSOS</w:t>
      </w:r>
    </w:p>
    <w:p w14:paraId="3F562E0F">
      <w:pPr>
        <w:ind w:right="-5"/>
        <w:jc w:val="both"/>
        <w:rPr>
          <w:b/>
        </w:rPr>
      </w:pPr>
    </w:p>
    <w:p w14:paraId="6831C997">
      <w:pPr>
        <w:ind w:right="-5"/>
        <w:jc w:val="both"/>
      </w:pPr>
      <w:r>
        <w:rPr>
          <w:b/>
        </w:rPr>
        <w:t>24.1.</w:t>
      </w:r>
      <w:r>
        <w:t xml:space="preserve"> Os casos omissos serão decididos pelo contratante, segundo as disposições contidas na Lei nº 14.133/2021, no Decreto 11.685/2023 e demais normas estaduais de licitações e contratos administrativos e, supletivamente as disposições contidas na Lei nº 8.078/1990 – Código de Defesa do Consumidor, normas e Princípios Gerais dos Contratos e disposições do direito privado.</w:t>
      </w:r>
    </w:p>
    <w:p w14:paraId="590FA562">
      <w:pPr>
        <w:ind w:right="-5"/>
        <w:jc w:val="both"/>
        <w:rPr>
          <w:b/>
          <w:u w:val="words"/>
        </w:rPr>
      </w:pPr>
    </w:p>
    <w:p w14:paraId="48488049">
      <w:pPr>
        <w:ind w:right="-5"/>
        <w:jc w:val="both"/>
      </w:pPr>
      <w:r>
        <w:rPr>
          <w:b/>
        </w:rPr>
        <w:t>CLÁUSULA VIGÉSIMA QUINTA - DO FORO:</w:t>
      </w:r>
    </w:p>
    <w:p w14:paraId="206E48A3">
      <w:pPr>
        <w:ind w:right="-5"/>
        <w:jc w:val="both"/>
        <w:rPr>
          <w:b/>
          <w:u w:val="single"/>
        </w:rPr>
      </w:pPr>
    </w:p>
    <w:p w14:paraId="41E56012">
      <w:pPr>
        <w:autoSpaceDE w:val="0"/>
        <w:jc w:val="both"/>
      </w:pPr>
      <w:r>
        <w:rPr>
          <w:b/>
        </w:rPr>
        <w:t>25.1.</w:t>
      </w:r>
      <w:r>
        <w:t xml:space="preserve"> Fica eleito o foro de Rondonópolis, Estado de Mato Grosso, como competente para dirimir quaisquer dúvidas ou questões decorrentes da execução deste contrato, que não puderem ser compostas pela conciliação, conforme art. 92, §1º, da Lei nº 14.133/2021.</w:t>
      </w:r>
    </w:p>
    <w:p w14:paraId="17A357A0">
      <w:pPr>
        <w:autoSpaceDE w:val="0"/>
        <w:jc w:val="both"/>
        <w:rPr>
          <w:b/>
          <w:u w:val="single"/>
        </w:rPr>
      </w:pPr>
    </w:p>
    <w:p w14:paraId="70655ABB">
      <w:pPr>
        <w:autoSpaceDE w:val="0"/>
        <w:ind w:firstLine="708"/>
        <w:jc w:val="both"/>
      </w:pPr>
      <w:r>
        <w:t xml:space="preserve">E, para firmeza e validade do que foi pactuado, lavrou-se o presente </w:t>
      </w:r>
      <w:r>
        <w:rPr>
          <w:b/>
          <w:bCs/>
        </w:rPr>
        <w:t xml:space="preserve">CONTRATO </w:t>
      </w:r>
      <w:r>
        <w:t xml:space="preserve">em 04 (quatro) vias de igual teor e forma, para que surtam um só efeito, as quais, depois de lidas, são assinadas pelos representantes do </w:t>
      </w:r>
      <w:r>
        <w:rPr>
          <w:b/>
          <w:bCs/>
        </w:rPr>
        <w:t xml:space="preserve">CONTRATANTE </w:t>
      </w:r>
      <w:r>
        <w:t xml:space="preserve">e da </w:t>
      </w:r>
      <w:r>
        <w:rPr>
          <w:b/>
          <w:bCs/>
        </w:rPr>
        <w:t>CONTRATADA</w:t>
      </w:r>
      <w:r>
        <w:t>, e pelas testemunhas abaixo relacionadas.</w:t>
      </w:r>
    </w:p>
    <w:p w14:paraId="7B56AE51">
      <w:pPr>
        <w:autoSpaceDE w:val="0"/>
        <w:ind w:right="-20"/>
        <w:jc w:val="center"/>
        <w:rPr>
          <w:spacing w:val="1"/>
          <w:w w:val="102"/>
        </w:rPr>
      </w:pPr>
    </w:p>
    <w:p w14:paraId="37465F9B">
      <w:pPr>
        <w:autoSpaceDE w:val="0"/>
        <w:ind w:right="-20"/>
        <w:jc w:val="center"/>
        <w:rPr>
          <w:spacing w:val="1"/>
          <w:w w:val="102"/>
        </w:rPr>
      </w:pPr>
    </w:p>
    <w:p w14:paraId="476A5954">
      <w:pPr>
        <w:autoSpaceDE w:val="0"/>
        <w:ind w:right="-20"/>
        <w:jc w:val="center"/>
      </w:pPr>
      <w:r>
        <w:rPr>
          <w:spacing w:val="1"/>
          <w:w w:val="102"/>
        </w:rPr>
        <w:t>Rondonópolis</w:t>
      </w:r>
      <w:r>
        <w:rPr>
          <w:w w:val="102"/>
        </w:rPr>
        <w:t>-</w:t>
      </w:r>
      <w:r>
        <w:rPr>
          <w:spacing w:val="2"/>
          <w:w w:val="102"/>
        </w:rPr>
        <w:t>MT.</w:t>
      </w:r>
      <w:r>
        <w:rPr>
          <w:w w:val="102"/>
        </w:rPr>
        <w:t>,</w:t>
      </w:r>
      <w:r>
        <w:rPr>
          <w:spacing w:val="10"/>
          <w:w w:val="102"/>
        </w:rPr>
        <w:t xml:space="preserve"> ___ de ____________ </w:t>
      </w:r>
      <w:r>
        <w:rPr>
          <w:spacing w:val="2"/>
          <w:w w:val="102"/>
        </w:rPr>
        <w:t>d</w:t>
      </w:r>
      <w:r>
        <w:rPr>
          <w:w w:val="102"/>
        </w:rPr>
        <w:t>e</w:t>
      </w:r>
      <w:r>
        <w:rPr>
          <w:spacing w:val="10"/>
          <w:w w:val="102"/>
        </w:rPr>
        <w:t xml:space="preserve"> </w:t>
      </w:r>
      <w:r>
        <w:rPr>
          <w:w w:val="102"/>
        </w:rPr>
        <w:t>2025</w:t>
      </w:r>
      <w:r>
        <w:t>.</w:t>
      </w:r>
    </w:p>
    <w:p w14:paraId="405019FB">
      <w:pPr>
        <w:autoSpaceDE w:val="0"/>
        <w:ind w:right="-20"/>
        <w:jc w:val="right"/>
      </w:pPr>
    </w:p>
    <w:p w14:paraId="3FA83368">
      <w:pPr>
        <w:autoSpaceDE w:val="0"/>
        <w:ind w:right="-20"/>
        <w:jc w:val="right"/>
      </w:pPr>
    </w:p>
    <w:tbl>
      <w:tblPr>
        <w:tblStyle w:val="12"/>
        <w:tblW w:w="9781" w:type="dxa"/>
        <w:tblInd w:w="0" w:type="dxa"/>
        <w:tblLayout w:type="fixed"/>
        <w:tblCellMar>
          <w:top w:w="0" w:type="dxa"/>
          <w:left w:w="70" w:type="dxa"/>
          <w:bottom w:w="0" w:type="dxa"/>
          <w:right w:w="70" w:type="dxa"/>
        </w:tblCellMar>
      </w:tblPr>
      <w:tblGrid>
        <w:gridCol w:w="4930"/>
        <w:gridCol w:w="1307"/>
        <w:gridCol w:w="3544"/>
      </w:tblGrid>
      <w:tr w14:paraId="46C0DB42">
        <w:tblPrEx>
          <w:tblCellMar>
            <w:top w:w="0" w:type="dxa"/>
            <w:left w:w="70" w:type="dxa"/>
            <w:bottom w:w="0" w:type="dxa"/>
            <w:right w:w="70" w:type="dxa"/>
          </w:tblCellMar>
        </w:tblPrEx>
        <w:tc>
          <w:tcPr>
            <w:tcW w:w="6237" w:type="dxa"/>
            <w:gridSpan w:val="2"/>
          </w:tcPr>
          <w:p w14:paraId="55F1C7C0">
            <w:pPr>
              <w:pStyle w:val="253"/>
              <w:ind w:right="-498"/>
              <w:jc w:val="center"/>
              <w:rPr>
                <w:rFonts w:ascii="Arial" w:hAnsi="Arial" w:cs="Arial"/>
                <w:sz w:val="22"/>
                <w:szCs w:val="22"/>
              </w:rPr>
            </w:pPr>
            <w:r>
              <w:rPr>
                <w:rFonts w:ascii="Arial" w:hAnsi="Arial" w:cs="Arial"/>
                <w:sz w:val="22"/>
                <w:szCs w:val="22"/>
              </w:rPr>
              <w:t xml:space="preserve">                                        O MUNICÍPIO DE RONDONÓPOLIS-MT.</w:t>
            </w:r>
          </w:p>
          <w:p w14:paraId="2791AE3A">
            <w:pPr>
              <w:jc w:val="center"/>
            </w:pPr>
          </w:p>
          <w:p w14:paraId="3CB5D699">
            <w:pPr>
              <w:jc w:val="center"/>
            </w:pPr>
          </w:p>
          <w:p w14:paraId="579D921B">
            <w:pPr>
              <w:jc w:val="center"/>
            </w:pPr>
          </w:p>
          <w:p w14:paraId="1550BC94">
            <w:pPr>
              <w:jc w:val="center"/>
            </w:pPr>
          </w:p>
          <w:p w14:paraId="37890198">
            <w:pPr>
              <w:jc w:val="center"/>
            </w:pPr>
            <w:r>
              <w:t>CONTRATANTE</w:t>
            </w:r>
          </w:p>
        </w:tc>
        <w:tc>
          <w:tcPr>
            <w:tcW w:w="3544" w:type="dxa"/>
          </w:tcPr>
          <w:p w14:paraId="1E0EECD4">
            <w:pPr>
              <w:pStyle w:val="253"/>
              <w:snapToGrid w:val="0"/>
              <w:jc w:val="center"/>
              <w:rPr>
                <w:rFonts w:ascii="Arial" w:hAnsi="Arial" w:cs="Arial"/>
                <w:sz w:val="22"/>
                <w:szCs w:val="22"/>
              </w:rPr>
            </w:pPr>
          </w:p>
          <w:p w14:paraId="408267BF">
            <w:pPr>
              <w:pStyle w:val="253"/>
              <w:jc w:val="center"/>
              <w:rPr>
                <w:rFonts w:ascii="Arial" w:hAnsi="Arial" w:cs="Arial"/>
                <w:sz w:val="22"/>
                <w:szCs w:val="22"/>
              </w:rPr>
            </w:pPr>
          </w:p>
          <w:p w14:paraId="657C22E6">
            <w:pPr>
              <w:pStyle w:val="253"/>
              <w:jc w:val="center"/>
              <w:rPr>
                <w:rFonts w:ascii="Arial" w:hAnsi="Arial" w:cs="Arial"/>
                <w:sz w:val="22"/>
                <w:szCs w:val="22"/>
              </w:rPr>
            </w:pPr>
          </w:p>
          <w:p w14:paraId="57083FD2">
            <w:pPr>
              <w:pStyle w:val="253"/>
              <w:rPr>
                <w:rFonts w:ascii="Arial" w:hAnsi="Arial" w:cs="Arial"/>
                <w:sz w:val="22"/>
                <w:szCs w:val="22"/>
              </w:rPr>
            </w:pPr>
          </w:p>
          <w:p w14:paraId="7FBAD1F6">
            <w:pPr>
              <w:pStyle w:val="253"/>
              <w:rPr>
                <w:rFonts w:ascii="Arial" w:hAnsi="Arial" w:cs="Arial"/>
                <w:sz w:val="22"/>
                <w:szCs w:val="22"/>
              </w:rPr>
            </w:pPr>
          </w:p>
          <w:p w14:paraId="075C9C8D">
            <w:pPr>
              <w:pStyle w:val="253"/>
              <w:rPr>
                <w:rFonts w:ascii="Arial" w:hAnsi="Arial" w:cs="Arial"/>
                <w:sz w:val="22"/>
                <w:szCs w:val="22"/>
              </w:rPr>
            </w:pPr>
          </w:p>
          <w:p w14:paraId="3DA034DE">
            <w:pPr>
              <w:pStyle w:val="253"/>
              <w:rPr>
                <w:rFonts w:ascii="Arial" w:hAnsi="Arial" w:cs="Arial"/>
                <w:sz w:val="22"/>
                <w:szCs w:val="22"/>
              </w:rPr>
            </w:pPr>
            <w:r>
              <w:rPr>
                <w:rFonts w:ascii="Arial" w:hAnsi="Arial" w:cs="Arial"/>
                <w:sz w:val="22"/>
                <w:szCs w:val="22"/>
              </w:rPr>
              <w:t>CONTRATADA</w:t>
            </w:r>
          </w:p>
          <w:p w14:paraId="4618F6CC">
            <w:pPr>
              <w:jc w:val="center"/>
            </w:pPr>
          </w:p>
        </w:tc>
      </w:tr>
      <w:tr w14:paraId="3C95BE5C">
        <w:tblPrEx>
          <w:tblCellMar>
            <w:top w:w="0" w:type="dxa"/>
            <w:left w:w="70" w:type="dxa"/>
            <w:bottom w:w="0" w:type="dxa"/>
            <w:right w:w="70" w:type="dxa"/>
          </w:tblCellMar>
        </w:tblPrEx>
        <w:tc>
          <w:tcPr>
            <w:tcW w:w="4930" w:type="dxa"/>
          </w:tcPr>
          <w:p w14:paraId="6FA84313">
            <w:pPr>
              <w:jc w:val="center"/>
            </w:pPr>
            <w:r>
              <w:t>TESTEMUNHAS:_________________________</w:t>
            </w:r>
          </w:p>
          <w:p w14:paraId="25221069">
            <w:pPr>
              <w:jc w:val="center"/>
            </w:pPr>
            <w:r>
              <w:t xml:space="preserve">               RG N.º</w:t>
            </w:r>
          </w:p>
        </w:tc>
        <w:tc>
          <w:tcPr>
            <w:tcW w:w="4851" w:type="dxa"/>
            <w:gridSpan w:val="2"/>
          </w:tcPr>
          <w:p w14:paraId="26DC6430">
            <w:pPr>
              <w:pStyle w:val="253"/>
              <w:jc w:val="center"/>
              <w:rPr>
                <w:rFonts w:ascii="Arial" w:hAnsi="Arial" w:cs="Arial"/>
                <w:sz w:val="22"/>
                <w:szCs w:val="22"/>
              </w:rPr>
            </w:pPr>
            <w:r>
              <w:rPr>
                <w:rFonts w:ascii="Arial" w:hAnsi="Arial" w:cs="Arial"/>
                <w:sz w:val="22"/>
                <w:szCs w:val="22"/>
              </w:rPr>
              <w:t>______________________________</w:t>
            </w:r>
          </w:p>
          <w:p w14:paraId="6FFC4952">
            <w:pPr>
              <w:pStyle w:val="253"/>
              <w:jc w:val="center"/>
              <w:rPr>
                <w:rFonts w:ascii="Arial" w:hAnsi="Arial" w:cs="Arial"/>
                <w:sz w:val="22"/>
                <w:szCs w:val="22"/>
              </w:rPr>
            </w:pPr>
            <w:r>
              <w:rPr>
                <w:rFonts w:ascii="Arial" w:hAnsi="Arial" w:cs="Arial"/>
                <w:sz w:val="22"/>
                <w:szCs w:val="22"/>
              </w:rPr>
              <w:t>RG N.º</w:t>
            </w:r>
          </w:p>
        </w:tc>
      </w:tr>
    </w:tbl>
    <w:p w14:paraId="57B494BB">
      <w:pPr>
        <w:jc w:val="center"/>
      </w:pPr>
    </w:p>
    <w:p w14:paraId="45BAA472">
      <w:pPr>
        <w:jc w:val="center"/>
      </w:pPr>
    </w:p>
    <w:p w14:paraId="24439371">
      <w:pPr>
        <w:jc w:val="center"/>
      </w:pPr>
      <w:r>
        <w:t>DE ACORDO:________________________________</w:t>
      </w:r>
    </w:p>
    <w:p w14:paraId="4F7C0A5A">
      <w:pPr>
        <w:tabs>
          <w:tab w:val="right" w:pos="9072"/>
        </w:tabs>
        <w:jc w:val="center"/>
      </w:pPr>
      <w:r>
        <w:t xml:space="preserve">                       ASSESSORIA JURÍDICA</w:t>
      </w:r>
    </w:p>
    <w:p w14:paraId="4044BA1A">
      <w:pPr>
        <w:tabs>
          <w:tab w:val="right" w:pos="9072"/>
        </w:tabs>
        <w:jc w:val="center"/>
      </w:pPr>
    </w:p>
    <w:p w14:paraId="67E2F744">
      <w:pPr>
        <w:tabs>
          <w:tab w:val="right" w:pos="9072"/>
        </w:tabs>
        <w:jc w:val="center"/>
      </w:pPr>
    </w:p>
    <w:p w14:paraId="4934CF8A">
      <w:pPr>
        <w:tabs>
          <w:tab w:val="right" w:pos="9072"/>
        </w:tabs>
        <w:jc w:val="center"/>
      </w:pPr>
    </w:p>
    <w:p w14:paraId="56B12B47">
      <w:pPr>
        <w:tabs>
          <w:tab w:val="right" w:pos="9072"/>
        </w:tabs>
        <w:jc w:val="center"/>
      </w:pPr>
    </w:p>
    <w:p w14:paraId="6354562B">
      <w:pPr>
        <w:tabs>
          <w:tab w:val="right" w:pos="9072"/>
        </w:tabs>
        <w:jc w:val="center"/>
      </w:pPr>
    </w:p>
    <w:p w14:paraId="4D003FAB">
      <w:pPr>
        <w:jc w:val="both"/>
        <w:rPr>
          <w:b/>
        </w:rPr>
      </w:pPr>
    </w:p>
    <w:p w14:paraId="39210D45">
      <w:pPr>
        <w:jc w:val="both"/>
        <w:rPr>
          <w:b/>
        </w:rPr>
      </w:pPr>
    </w:p>
    <w:p w14:paraId="3BA2079A">
      <w:pPr>
        <w:pBdr>
          <w:top w:val="single" w:color="000000" w:sz="4" w:space="1"/>
          <w:left w:val="single" w:color="000000" w:sz="4" w:space="4"/>
          <w:bottom w:val="single" w:color="000000" w:sz="4" w:space="1"/>
          <w:right w:val="single" w:color="000000" w:sz="4" w:space="4"/>
        </w:pBdr>
        <w:tabs>
          <w:tab w:val="left" w:pos="8576"/>
          <w:tab w:val="left" w:pos="10419"/>
        </w:tabs>
        <w:jc w:val="center"/>
      </w:pPr>
      <w:r>
        <w:rPr>
          <w:b/>
        </w:rPr>
        <w:t>PAPEL TIMBRADO DA EMPRESA LICITANTE</w:t>
      </w:r>
    </w:p>
    <w:p w14:paraId="520A7B55">
      <w:pPr>
        <w:jc w:val="both"/>
        <w:rPr>
          <w:b/>
        </w:rPr>
      </w:pPr>
    </w:p>
    <w:p w14:paraId="772A444B">
      <w:pPr>
        <w:pStyle w:val="2"/>
        <w:autoSpaceDE w:val="0"/>
        <w:spacing w:before="0" w:after="0"/>
        <w:jc w:val="center"/>
        <w:rPr>
          <w:rFonts w:ascii="Arial" w:hAnsi="Arial" w:cs="Arial"/>
          <w:b/>
          <w:bCs/>
          <w:color w:val="000000" w:themeColor="text1"/>
          <w:sz w:val="24"/>
          <w:szCs w:val="24"/>
          <w14:textFill>
            <w14:solidFill>
              <w14:schemeClr w14:val="tx1"/>
            </w14:solidFill>
          </w14:textFill>
        </w:rPr>
      </w:pPr>
      <w:bookmarkStart w:id="36" w:name="__RefHeading___Toc190782037"/>
      <w:bookmarkEnd w:id="36"/>
      <w:r>
        <w:rPr>
          <w:rFonts w:ascii="Arial" w:hAnsi="Arial" w:eastAsia="SimSun" w:cs="Arial"/>
          <w:b/>
          <w:bCs/>
          <w:color w:val="000000" w:themeColor="text1"/>
          <w:sz w:val="24"/>
          <w:szCs w:val="24"/>
          <w14:textFill>
            <w14:solidFill>
              <w14:schemeClr w14:val="tx1"/>
            </w14:solidFill>
          </w14:textFill>
        </w:rPr>
        <w:t xml:space="preserve">ANEXO III: </w:t>
      </w:r>
      <w:r>
        <w:rPr>
          <w:rFonts w:ascii="Arial" w:hAnsi="Arial" w:cs="Arial"/>
          <w:b/>
          <w:bCs/>
          <w:color w:val="000000" w:themeColor="text1"/>
          <w:sz w:val="24"/>
          <w:szCs w:val="24"/>
          <w14:textFill>
            <w14:solidFill>
              <w14:schemeClr w14:val="tx1"/>
            </w14:solidFill>
          </w14:textFill>
        </w:rPr>
        <w:t>MODELO DE PROPOSTA COMERCIAL.</w:t>
      </w:r>
    </w:p>
    <w:p w14:paraId="2B8AD7F9">
      <w:pPr>
        <w:jc w:val="both"/>
        <w:rPr>
          <w:rFonts w:eastAsia="SimSun"/>
          <w:b/>
          <w:kern w:val="2"/>
        </w:rPr>
      </w:pPr>
    </w:p>
    <w:tbl>
      <w:tblPr>
        <w:tblStyle w:val="12"/>
        <w:tblW w:w="9346" w:type="dxa"/>
        <w:tblInd w:w="5" w:type="dxa"/>
        <w:tblLayout w:type="fixed"/>
        <w:tblCellMar>
          <w:top w:w="0" w:type="dxa"/>
          <w:left w:w="108" w:type="dxa"/>
          <w:bottom w:w="0" w:type="dxa"/>
          <w:right w:w="108" w:type="dxa"/>
        </w:tblCellMar>
      </w:tblPr>
      <w:tblGrid>
        <w:gridCol w:w="3419"/>
        <w:gridCol w:w="826"/>
        <w:gridCol w:w="1623"/>
        <w:gridCol w:w="1164"/>
        <w:gridCol w:w="437"/>
        <w:gridCol w:w="1877"/>
      </w:tblGrid>
      <w:tr w14:paraId="2F3AAFCC">
        <w:tblPrEx>
          <w:tblCellMar>
            <w:top w:w="0" w:type="dxa"/>
            <w:left w:w="108" w:type="dxa"/>
            <w:bottom w:w="0" w:type="dxa"/>
            <w:right w:w="108" w:type="dxa"/>
          </w:tblCellMar>
        </w:tblPrEx>
        <w:trPr>
          <w:trHeight w:val="255" w:hRule="atLeast"/>
        </w:trPr>
        <w:tc>
          <w:tcPr>
            <w:tcW w:w="7032" w:type="dxa"/>
            <w:gridSpan w:val="4"/>
            <w:tcBorders>
              <w:top w:val="single" w:color="000000" w:sz="4" w:space="0"/>
              <w:left w:val="single" w:color="000000" w:sz="4" w:space="0"/>
              <w:bottom w:val="single" w:color="000000" w:sz="4" w:space="0"/>
              <w:right w:val="single" w:color="000000" w:sz="4" w:space="0"/>
            </w:tcBorders>
          </w:tcPr>
          <w:p w14:paraId="088C4680">
            <w:pPr>
              <w:tabs>
                <w:tab w:val="left" w:pos="2714"/>
                <w:tab w:val="left" w:pos="10419"/>
              </w:tabs>
            </w:pPr>
            <w:r>
              <w:rPr>
                <w:b/>
              </w:rPr>
              <w:t>Licitante Razão Social:</w:t>
            </w:r>
          </w:p>
        </w:tc>
        <w:tc>
          <w:tcPr>
            <w:tcW w:w="2314" w:type="dxa"/>
            <w:gridSpan w:val="2"/>
            <w:tcBorders>
              <w:top w:val="single" w:color="000000" w:sz="4" w:space="0"/>
              <w:left w:val="single" w:color="000000" w:sz="4" w:space="0"/>
              <w:bottom w:val="single" w:color="000000" w:sz="4" w:space="0"/>
              <w:right w:val="single" w:color="000000" w:sz="4" w:space="0"/>
            </w:tcBorders>
          </w:tcPr>
          <w:p w14:paraId="08794437">
            <w:pPr>
              <w:tabs>
                <w:tab w:val="left" w:pos="2714"/>
                <w:tab w:val="left" w:pos="10419"/>
              </w:tabs>
            </w:pPr>
            <w:r>
              <w:rPr>
                <w:b/>
              </w:rPr>
              <w:t>CNPJ N.º:</w:t>
            </w:r>
          </w:p>
        </w:tc>
      </w:tr>
      <w:tr w14:paraId="3B9E6F03">
        <w:tblPrEx>
          <w:tblCellMar>
            <w:top w:w="0" w:type="dxa"/>
            <w:left w:w="108" w:type="dxa"/>
            <w:bottom w:w="0" w:type="dxa"/>
            <w:right w:w="108" w:type="dxa"/>
          </w:tblCellMar>
        </w:tblPrEx>
        <w:trPr>
          <w:trHeight w:val="255" w:hRule="atLeast"/>
        </w:trPr>
        <w:tc>
          <w:tcPr>
            <w:tcW w:w="3419" w:type="dxa"/>
            <w:tcBorders>
              <w:top w:val="single" w:color="000000" w:sz="4" w:space="0"/>
              <w:left w:val="single" w:color="000000" w:sz="4" w:space="0"/>
              <w:bottom w:val="single" w:color="000000" w:sz="4" w:space="0"/>
              <w:right w:val="single" w:color="000000" w:sz="4" w:space="0"/>
            </w:tcBorders>
          </w:tcPr>
          <w:p w14:paraId="7976F953">
            <w:pPr>
              <w:tabs>
                <w:tab w:val="left" w:pos="2714"/>
                <w:tab w:val="left" w:pos="10419"/>
              </w:tabs>
            </w:pPr>
            <w:r>
              <w:rPr>
                <w:b/>
              </w:rPr>
              <w:t>Telefone fixo:</w:t>
            </w:r>
          </w:p>
        </w:tc>
        <w:tc>
          <w:tcPr>
            <w:tcW w:w="2449" w:type="dxa"/>
            <w:gridSpan w:val="2"/>
            <w:tcBorders>
              <w:top w:val="single" w:color="000000" w:sz="4" w:space="0"/>
              <w:left w:val="single" w:color="000000" w:sz="4" w:space="0"/>
              <w:bottom w:val="single" w:color="000000" w:sz="4" w:space="0"/>
              <w:right w:val="single" w:color="000000" w:sz="4" w:space="0"/>
            </w:tcBorders>
          </w:tcPr>
          <w:p w14:paraId="6447EBA6">
            <w:pPr>
              <w:tabs>
                <w:tab w:val="left" w:pos="2714"/>
                <w:tab w:val="left" w:pos="10419"/>
              </w:tabs>
            </w:pPr>
            <w:r>
              <w:rPr>
                <w:b/>
              </w:rPr>
              <w:t>Celular:</w:t>
            </w:r>
          </w:p>
        </w:tc>
        <w:tc>
          <w:tcPr>
            <w:tcW w:w="3478" w:type="dxa"/>
            <w:gridSpan w:val="3"/>
            <w:tcBorders>
              <w:top w:val="single" w:color="000000" w:sz="4" w:space="0"/>
              <w:left w:val="single" w:color="000000" w:sz="4" w:space="0"/>
              <w:bottom w:val="single" w:color="000000" w:sz="4" w:space="0"/>
              <w:right w:val="single" w:color="000000" w:sz="4" w:space="0"/>
            </w:tcBorders>
          </w:tcPr>
          <w:p w14:paraId="36281AF1">
            <w:pPr>
              <w:tabs>
                <w:tab w:val="left" w:pos="2714"/>
                <w:tab w:val="left" w:pos="10419"/>
              </w:tabs>
            </w:pPr>
            <w:r>
              <w:rPr>
                <w:b/>
              </w:rPr>
              <w:t>Endereço eletrônico e-mail:</w:t>
            </w:r>
          </w:p>
        </w:tc>
      </w:tr>
      <w:tr w14:paraId="7D412630">
        <w:tblPrEx>
          <w:tblCellMar>
            <w:top w:w="0" w:type="dxa"/>
            <w:left w:w="108" w:type="dxa"/>
            <w:bottom w:w="0" w:type="dxa"/>
            <w:right w:w="108" w:type="dxa"/>
          </w:tblCellMar>
        </w:tblPrEx>
        <w:trPr>
          <w:trHeight w:val="255" w:hRule="atLeast"/>
        </w:trPr>
        <w:tc>
          <w:tcPr>
            <w:tcW w:w="9346" w:type="dxa"/>
            <w:gridSpan w:val="6"/>
            <w:tcBorders>
              <w:top w:val="single" w:color="000000" w:sz="4" w:space="0"/>
              <w:left w:val="single" w:color="000000" w:sz="4" w:space="0"/>
              <w:bottom w:val="single" w:color="000000" w:sz="4" w:space="0"/>
              <w:right w:val="single" w:color="000000" w:sz="4" w:space="0"/>
            </w:tcBorders>
          </w:tcPr>
          <w:p w14:paraId="4815894D">
            <w:pPr>
              <w:tabs>
                <w:tab w:val="left" w:pos="2714"/>
                <w:tab w:val="left" w:pos="10419"/>
              </w:tabs>
            </w:pPr>
            <w:r>
              <w:rPr>
                <w:b/>
              </w:rPr>
              <w:t>Endereço Completo Rua, Nº, Bairro, Município, Estado, Cep:</w:t>
            </w:r>
          </w:p>
        </w:tc>
      </w:tr>
      <w:tr w14:paraId="223B487D">
        <w:tblPrEx>
          <w:tblCellMar>
            <w:top w:w="0" w:type="dxa"/>
            <w:left w:w="108" w:type="dxa"/>
            <w:bottom w:w="0" w:type="dxa"/>
            <w:right w:w="108" w:type="dxa"/>
          </w:tblCellMar>
        </w:tblPrEx>
        <w:trPr>
          <w:trHeight w:val="272" w:hRule="atLeast"/>
        </w:trPr>
        <w:tc>
          <w:tcPr>
            <w:tcW w:w="4245" w:type="dxa"/>
            <w:gridSpan w:val="2"/>
            <w:tcBorders>
              <w:top w:val="single" w:color="000000" w:sz="4" w:space="0"/>
              <w:left w:val="single" w:color="000000" w:sz="4" w:space="0"/>
              <w:bottom w:val="single" w:color="000000" w:sz="4" w:space="0"/>
              <w:right w:val="single" w:color="000000" w:sz="4" w:space="0"/>
            </w:tcBorders>
          </w:tcPr>
          <w:p w14:paraId="4762E9C3">
            <w:pPr>
              <w:jc w:val="both"/>
            </w:pPr>
            <w:r>
              <w:rPr>
                <w:b/>
              </w:rPr>
              <w:t>Conta Corrente nº:</w:t>
            </w:r>
          </w:p>
        </w:tc>
        <w:tc>
          <w:tcPr>
            <w:tcW w:w="3224" w:type="dxa"/>
            <w:gridSpan w:val="3"/>
            <w:tcBorders>
              <w:top w:val="single" w:color="000000" w:sz="4" w:space="0"/>
              <w:left w:val="single" w:color="000000" w:sz="4" w:space="0"/>
              <w:bottom w:val="single" w:color="000000" w:sz="4" w:space="0"/>
              <w:right w:val="single" w:color="000000" w:sz="4" w:space="0"/>
            </w:tcBorders>
          </w:tcPr>
          <w:p w14:paraId="38AEAE17">
            <w:pPr>
              <w:jc w:val="both"/>
            </w:pPr>
            <w:r>
              <w:rPr>
                <w:b/>
              </w:rPr>
              <w:t>Agência:</w:t>
            </w:r>
          </w:p>
        </w:tc>
        <w:tc>
          <w:tcPr>
            <w:tcW w:w="1877" w:type="dxa"/>
            <w:tcBorders>
              <w:top w:val="single" w:color="000000" w:sz="4" w:space="0"/>
              <w:left w:val="single" w:color="000000" w:sz="4" w:space="0"/>
              <w:bottom w:val="single" w:color="000000" w:sz="4" w:space="0"/>
              <w:right w:val="single" w:color="000000" w:sz="4" w:space="0"/>
            </w:tcBorders>
          </w:tcPr>
          <w:p w14:paraId="20597070">
            <w:pPr>
              <w:jc w:val="both"/>
            </w:pPr>
            <w:r>
              <w:rPr>
                <w:b/>
              </w:rPr>
              <w:t>Banco:</w:t>
            </w:r>
          </w:p>
        </w:tc>
      </w:tr>
    </w:tbl>
    <w:p w14:paraId="5758A80B">
      <w:pPr>
        <w:tabs>
          <w:tab w:val="left" w:pos="2714"/>
          <w:tab w:val="left" w:pos="10419"/>
        </w:tabs>
        <w:rPr>
          <w:b/>
        </w:rPr>
      </w:pPr>
    </w:p>
    <w:p w14:paraId="7F339684">
      <w:pPr>
        <w:tabs>
          <w:tab w:val="left" w:pos="2714"/>
          <w:tab w:val="left" w:pos="10419"/>
        </w:tabs>
      </w:pPr>
      <w:r>
        <w:rPr>
          <w:b/>
        </w:rPr>
        <w:t>Licitação Modalidade: Pregão Eletrônico N.º: xx/2025. Tipo: MENOR PREÇO POR ITEM</w:t>
      </w:r>
    </w:p>
    <w:p w14:paraId="79225510">
      <w:pPr>
        <w:tabs>
          <w:tab w:val="left" w:pos="2714"/>
          <w:tab w:val="left" w:pos="10419"/>
        </w:tabs>
        <w:rPr>
          <w:b/>
        </w:rPr>
      </w:pPr>
    </w:p>
    <w:p w14:paraId="3526449E">
      <w:pPr>
        <w:jc w:val="both"/>
      </w:pPr>
      <w:r>
        <w:rPr>
          <w:b/>
        </w:rPr>
        <w:t xml:space="preserve">Objeto: </w:t>
      </w:r>
      <w:r>
        <w:rPr>
          <w:b/>
          <w:bCs/>
          <w:color w:val="000000"/>
        </w:rPr>
        <w:t>Registro de Preço para a prestação de serviços de fiscalização eletrônica automática de infrações de trânsito, compreendendo o monitoramento, registro, armazenamento e processamento de informações e imagens relativas a infrações de avanço de sinal vermelho e parada sobre faixa de pedestres em cruzamentos semafóricos, bem como, conforme configuração dos equipamentos e necessidade da Secretaria Municipal de Mobilidade Urbana (SEMOB) de Rondonópolis-MT, a fiscalização de excesso de velocidade. Conforme condições, especificações e quantitativos estabelecidos no edital e seus anexos.</w:t>
      </w:r>
    </w:p>
    <w:p w14:paraId="0D16B81E">
      <w:pPr>
        <w:jc w:val="both"/>
        <w:rPr>
          <w:b/>
        </w:rPr>
      </w:pPr>
    </w:p>
    <w:tbl>
      <w:tblPr>
        <w:tblStyle w:val="4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134"/>
        <w:gridCol w:w="3402"/>
        <w:gridCol w:w="709"/>
        <w:gridCol w:w="604"/>
        <w:gridCol w:w="1097"/>
        <w:gridCol w:w="1984"/>
      </w:tblGrid>
      <w:tr w14:paraId="132DC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45" w:hRule="atLeast"/>
        </w:trPr>
        <w:tc>
          <w:tcPr>
            <w:tcW w:w="704" w:type="dxa"/>
            <w:vAlign w:val="center"/>
          </w:tcPr>
          <w:p w14:paraId="51A713F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Item</w:t>
            </w:r>
          </w:p>
        </w:tc>
        <w:tc>
          <w:tcPr>
            <w:tcW w:w="1134" w:type="dxa"/>
            <w:vAlign w:val="center"/>
          </w:tcPr>
          <w:p w14:paraId="11B55B8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CÓD. TCE</w:t>
            </w:r>
          </w:p>
        </w:tc>
        <w:tc>
          <w:tcPr>
            <w:tcW w:w="3402" w:type="dxa"/>
            <w:vAlign w:val="center"/>
          </w:tcPr>
          <w:p w14:paraId="7583F61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Descrição</w:t>
            </w:r>
          </w:p>
        </w:tc>
        <w:tc>
          <w:tcPr>
            <w:tcW w:w="709" w:type="dxa"/>
            <w:vAlign w:val="center"/>
          </w:tcPr>
          <w:p w14:paraId="6283EFB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Unidade</w:t>
            </w:r>
          </w:p>
        </w:tc>
        <w:tc>
          <w:tcPr>
            <w:tcW w:w="604" w:type="dxa"/>
            <w:vAlign w:val="center"/>
          </w:tcPr>
          <w:p w14:paraId="7A8F73E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Qtd</w:t>
            </w:r>
          </w:p>
        </w:tc>
        <w:tc>
          <w:tcPr>
            <w:tcW w:w="1097" w:type="dxa"/>
            <w:vAlign w:val="center"/>
          </w:tcPr>
          <w:p w14:paraId="6C5D4E0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Valor Unitário Mensal</w:t>
            </w:r>
          </w:p>
        </w:tc>
        <w:tc>
          <w:tcPr>
            <w:tcW w:w="1984" w:type="dxa"/>
            <w:vAlign w:val="center"/>
          </w:tcPr>
          <w:p w14:paraId="5286A9D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Preço Total Mês</w:t>
            </w:r>
          </w:p>
        </w:tc>
      </w:tr>
      <w:tr w14:paraId="16B07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04" w:type="dxa"/>
            <w:vAlign w:val="center"/>
          </w:tcPr>
          <w:p w14:paraId="5EB71D8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134" w:type="dxa"/>
            <w:vAlign w:val="center"/>
          </w:tcPr>
          <w:p w14:paraId="31F596C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3402" w:type="dxa"/>
            <w:vAlign w:val="center"/>
          </w:tcPr>
          <w:p w14:paraId="35A6CB2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709" w:type="dxa"/>
            <w:vAlign w:val="center"/>
          </w:tcPr>
          <w:p w14:paraId="5ACC761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604" w:type="dxa"/>
            <w:vAlign w:val="center"/>
          </w:tcPr>
          <w:p w14:paraId="70DBA29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097" w:type="dxa"/>
            <w:vAlign w:val="center"/>
          </w:tcPr>
          <w:p w14:paraId="34F9E20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984" w:type="dxa"/>
            <w:vAlign w:val="center"/>
          </w:tcPr>
          <w:p w14:paraId="71604E8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xml:space="preserve"> </w:t>
            </w:r>
          </w:p>
        </w:tc>
      </w:tr>
      <w:tr w14:paraId="3A27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trPr>
        <w:tc>
          <w:tcPr>
            <w:tcW w:w="704" w:type="dxa"/>
            <w:vAlign w:val="center"/>
          </w:tcPr>
          <w:p w14:paraId="0A6A3B6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1</w:t>
            </w:r>
          </w:p>
        </w:tc>
        <w:tc>
          <w:tcPr>
            <w:tcW w:w="1134" w:type="dxa"/>
            <w:vAlign w:val="center"/>
          </w:tcPr>
          <w:p w14:paraId="28750C2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265939-5</w:t>
            </w:r>
          </w:p>
        </w:tc>
        <w:tc>
          <w:tcPr>
            <w:tcW w:w="3402" w:type="dxa"/>
            <w:vAlign w:val="center"/>
          </w:tcPr>
          <w:p w14:paraId="2D5FD6B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de avanço de sinal vermelho e parada sobre faixa de travessia de pedestres - não intrusivo,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tc>
        <w:tc>
          <w:tcPr>
            <w:tcW w:w="709" w:type="dxa"/>
            <w:vAlign w:val="center"/>
          </w:tcPr>
          <w:p w14:paraId="50BCD3D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7717C32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92</w:t>
            </w:r>
          </w:p>
        </w:tc>
        <w:tc>
          <w:tcPr>
            <w:tcW w:w="1097" w:type="dxa"/>
            <w:vAlign w:val="center"/>
          </w:tcPr>
          <w:p w14:paraId="65A5DBF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26F5AE2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255CD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80" w:hRule="atLeast"/>
        </w:trPr>
        <w:tc>
          <w:tcPr>
            <w:tcW w:w="704" w:type="dxa"/>
            <w:vAlign w:val="center"/>
          </w:tcPr>
          <w:p w14:paraId="0F5AE83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w:t>
            </w:r>
          </w:p>
        </w:tc>
        <w:tc>
          <w:tcPr>
            <w:tcW w:w="1134" w:type="dxa"/>
            <w:vAlign w:val="center"/>
          </w:tcPr>
          <w:p w14:paraId="2D8C10B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8864</w:t>
            </w:r>
          </w:p>
        </w:tc>
        <w:tc>
          <w:tcPr>
            <w:tcW w:w="3402" w:type="dxa"/>
            <w:vAlign w:val="center"/>
          </w:tcPr>
          <w:p w14:paraId="716A7B9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 radar de velocidade fixo com LAP - não intrusivo, através de prestação de serviços, incluso a instalação, operacionalização e a manutenção dos equipamentos, pelo prazo de 12 (doze) meses, conforme especificações técnicas.</w:t>
            </w:r>
          </w:p>
        </w:tc>
        <w:tc>
          <w:tcPr>
            <w:tcW w:w="709" w:type="dxa"/>
            <w:vAlign w:val="center"/>
          </w:tcPr>
          <w:p w14:paraId="1D156A9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59A7D99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100</w:t>
            </w:r>
          </w:p>
        </w:tc>
        <w:tc>
          <w:tcPr>
            <w:tcW w:w="1097" w:type="dxa"/>
            <w:vAlign w:val="center"/>
          </w:tcPr>
          <w:p w14:paraId="17530D1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6829C44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6FE7C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704" w:type="dxa"/>
            <w:vAlign w:val="center"/>
          </w:tcPr>
          <w:p w14:paraId="74C455D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w:t>
            </w:r>
          </w:p>
        </w:tc>
        <w:tc>
          <w:tcPr>
            <w:tcW w:w="1134" w:type="dxa"/>
            <w:vAlign w:val="center"/>
          </w:tcPr>
          <w:p w14:paraId="2B1D15F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418773-3</w:t>
            </w:r>
          </w:p>
        </w:tc>
        <w:tc>
          <w:tcPr>
            <w:tcW w:w="3402" w:type="dxa"/>
            <w:vAlign w:val="center"/>
          </w:tcPr>
          <w:p w14:paraId="15E11D1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Fornecimento de sistema de controle e monitoramento de velocidade por meio de equipamento educativo não intrusivo, com comunicação de internet via cabeamento fibra óptica, equipado com câmera para leitura OCR, alimentado por energia elétrica convencional, a ser instalado em um ponto fixo, projetado sobre a via (coluna e braço projetado em aço galvanizado), conforme especificações técnicas.</w:t>
            </w:r>
          </w:p>
        </w:tc>
        <w:tc>
          <w:tcPr>
            <w:tcW w:w="709" w:type="dxa"/>
            <w:vAlign w:val="center"/>
          </w:tcPr>
          <w:p w14:paraId="7826E70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077AF82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w:t>
            </w:r>
          </w:p>
        </w:tc>
        <w:tc>
          <w:tcPr>
            <w:tcW w:w="1097" w:type="dxa"/>
            <w:vAlign w:val="center"/>
          </w:tcPr>
          <w:p w14:paraId="138EB19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643F6A8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59368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704" w:type="dxa"/>
            <w:vAlign w:val="center"/>
          </w:tcPr>
          <w:p w14:paraId="2A409B8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w:t>
            </w:r>
          </w:p>
        </w:tc>
        <w:tc>
          <w:tcPr>
            <w:tcW w:w="1134" w:type="dxa"/>
            <w:vAlign w:val="center"/>
          </w:tcPr>
          <w:p w14:paraId="0B9BC63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68030</w:t>
            </w:r>
          </w:p>
        </w:tc>
        <w:tc>
          <w:tcPr>
            <w:tcW w:w="3402" w:type="dxa"/>
            <w:vAlign w:val="center"/>
          </w:tcPr>
          <w:p w14:paraId="720EFD1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tc>
        <w:tc>
          <w:tcPr>
            <w:tcW w:w="709" w:type="dxa"/>
            <w:vAlign w:val="center"/>
          </w:tcPr>
          <w:p w14:paraId="441083D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489FC91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48</w:t>
            </w:r>
          </w:p>
        </w:tc>
        <w:tc>
          <w:tcPr>
            <w:tcW w:w="1097" w:type="dxa"/>
            <w:vAlign w:val="center"/>
          </w:tcPr>
          <w:p w14:paraId="34F36C3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798AB45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13673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1B792F9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5</w:t>
            </w:r>
          </w:p>
        </w:tc>
        <w:tc>
          <w:tcPr>
            <w:tcW w:w="8930" w:type="dxa"/>
            <w:gridSpan w:val="6"/>
            <w:vAlign w:val="center"/>
          </w:tcPr>
          <w:p w14:paraId="342F3DEB">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r>
              <w:rPr>
                <w:b/>
                <w:bCs/>
                <w:color w:val="000000"/>
                <w:sz w:val="20"/>
                <w:szCs w:val="20"/>
              </w:rPr>
              <w:t>Software para processamento as infrações e recursos de infrações, inclusive com apoio a JARI</w:t>
            </w:r>
          </w:p>
        </w:tc>
      </w:tr>
      <w:tr w14:paraId="65987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trPr>
        <w:tc>
          <w:tcPr>
            <w:tcW w:w="704" w:type="dxa"/>
            <w:vAlign w:val="center"/>
          </w:tcPr>
          <w:p w14:paraId="7ABAF51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5.1</w:t>
            </w:r>
          </w:p>
        </w:tc>
        <w:tc>
          <w:tcPr>
            <w:tcW w:w="1134" w:type="dxa"/>
            <w:vAlign w:val="center"/>
          </w:tcPr>
          <w:p w14:paraId="7158FA0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8796</w:t>
            </w:r>
          </w:p>
        </w:tc>
        <w:tc>
          <w:tcPr>
            <w:tcW w:w="3402" w:type="dxa"/>
            <w:vAlign w:val="center"/>
          </w:tcPr>
          <w:p w14:paraId="7D7C987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Disponibilizar plataforma integrada de processamento de autos de infrações, físicos e eletrônicos; devendo permitir a integração de talonários eletrônicos de outras empresas; devendo permitir a consulta de infrações, recursos, e informações pertinentes ao cidadão via web; devendo permitir integração a plataformas de outras entidades, por exemplo: Detran ou SERPRO</w:t>
            </w:r>
          </w:p>
        </w:tc>
        <w:tc>
          <w:tcPr>
            <w:tcW w:w="709" w:type="dxa"/>
            <w:vAlign w:val="center"/>
          </w:tcPr>
          <w:p w14:paraId="2FF1D07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6AD6565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097" w:type="dxa"/>
            <w:vAlign w:val="center"/>
          </w:tcPr>
          <w:p w14:paraId="3BBB38E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18829B9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40C68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243A024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6</w:t>
            </w:r>
          </w:p>
        </w:tc>
        <w:tc>
          <w:tcPr>
            <w:tcW w:w="8930" w:type="dxa"/>
            <w:gridSpan w:val="6"/>
            <w:vAlign w:val="center"/>
          </w:tcPr>
          <w:p w14:paraId="40DEDCB9">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p>
        </w:tc>
      </w:tr>
      <w:tr w14:paraId="341CD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04" w:type="dxa"/>
            <w:vAlign w:val="center"/>
          </w:tcPr>
          <w:p w14:paraId="5E90F60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6.1</w:t>
            </w:r>
          </w:p>
        </w:tc>
        <w:tc>
          <w:tcPr>
            <w:tcW w:w="1134" w:type="dxa"/>
            <w:vAlign w:val="center"/>
          </w:tcPr>
          <w:p w14:paraId="7A3B416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242343-0</w:t>
            </w:r>
          </w:p>
        </w:tc>
        <w:tc>
          <w:tcPr>
            <w:tcW w:w="3402" w:type="dxa"/>
            <w:vAlign w:val="center"/>
          </w:tcPr>
          <w:p w14:paraId="4E483A7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 Anti Jammer</w:t>
            </w:r>
          </w:p>
        </w:tc>
        <w:tc>
          <w:tcPr>
            <w:tcW w:w="709" w:type="dxa"/>
            <w:vAlign w:val="center"/>
          </w:tcPr>
          <w:p w14:paraId="43F70C5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77A1592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102</w:t>
            </w:r>
          </w:p>
        </w:tc>
        <w:tc>
          <w:tcPr>
            <w:tcW w:w="1097" w:type="dxa"/>
            <w:vAlign w:val="center"/>
          </w:tcPr>
          <w:p w14:paraId="03E5BDB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1FAC67F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4784D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04" w:type="dxa"/>
            <w:vAlign w:val="center"/>
          </w:tcPr>
          <w:p w14:paraId="5286F23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6.2</w:t>
            </w:r>
          </w:p>
        </w:tc>
        <w:tc>
          <w:tcPr>
            <w:tcW w:w="1134" w:type="dxa"/>
            <w:vAlign w:val="center"/>
          </w:tcPr>
          <w:p w14:paraId="1E075EA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399850-9</w:t>
            </w:r>
          </w:p>
        </w:tc>
        <w:tc>
          <w:tcPr>
            <w:tcW w:w="3402" w:type="dxa"/>
            <w:vAlign w:val="center"/>
          </w:tcPr>
          <w:p w14:paraId="1BC726B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Fluxo Veicular e Estatística On-Line</w:t>
            </w:r>
          </w:p>
        </w:tc>
        <w:tc>
          <w:tcPr>
            <w:tcW w:w="709" w:type="dxa"/>
            <w:vAlign w:val="center"/>
          </w:tcPr>
          <w:p w14:paraId="4225834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342A7FE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097" w:type="dxa"/>
            <w:vAlign w:val="center"/>
          </w:tcPr>
          <w:p w14:paraId="5D7AA35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44D8AD8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4B7C0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39D5D2A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6.3</w:t>
            </w:r>
          </w:p>
        </w:tc>
        <w:tc>
          <w:tcPr>
            <w:tcW w:w="1134" w:type="dxa"/>
            <w:vAlign w:val="center"/>
          </w:tcPr>
          <w:p w14:paraId="5AFFA08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24224</w:t>
            </w:r>
          </w:p>
        </w:tc>
        <w:tc>
          <w:tcPr>
            <w:tcW w:w="3402" w:type="dxa"/>
            <w:vAlign w:val="center"/>
          </w:tcPr>
          <w:p w14:paraId="1BBDE33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inteligência Analítica - BI</w:t>
            </w:r>
          </w:p>
        </w:tc>
        <w:tc>
          <w:tcPr>
            <w:tcW w:w="709" w:type="dxa"/>
            <w:vAlign w:val="center"/>
          </w:tcPr>
          <w:p w14:paraId="5EC260B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62060F7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097" w:type="dxa"/>
            <w:vAlign w:val="center"/>
          </w:tcPr>
          <w:p w14:paraId="1D8D570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524F690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r w14:paraId="74990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01557C3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6.4</w:t>
            </w:r>
          </w:p>
        </w:tc>
        <w:tc>
          <w:tcPr>
            <w:tcW w:w="1134" w:type="dxa"/>
            <w:vAlign w:val="center"/>
          </w:tcPr>
          <w:p w14:paraId="478A097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27513</w:t>
            </w:r>
          </w:p>
        </w:tc>
        <w:tc>
          <w:tcPr>
            <w:tcW w:w="3402" w:type="dxa"/>
            <w:vAlign w:val="center"/>
          </w:tcPr>
          <w:p w14:paraId="159AE84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Integrador para Gerenciamento de Imagens e Processamento das Informações Geradas</w:t>
            </w:r>
          </w:p>
        </w:tc>
        <w:tc>
          <w:tcPr>
            <w:tcW w:w="709" w:type="dxa"/>
            <w:vAlign w:val="center"/>
          </w:tcPr>
          <w:p w14:paraId="72CD2E3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44724EE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097" w:type="dxa"/>
            <w:vAlign w:val="center"/>
          </w:tcPr>
          <w:p w14:paraId="70495E1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c>
          <w:tcPr>
            <w:tcW w:w="1984" w:type="dxa"/>
            <w:vAlign w:val="center"/>
          </w:tcPr>
          <w:p w14:paraId="49AC5DD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p>
        </w:tc>
      </w:tr>
    </w:tbl>
    <w:p w14:paraId="1D975578">
      <w:pPr>
        <w:jc w:val="both"/>
        <w:rPr>
          <w:b/>
        </w:rPr>
      </w:pPr>
    </w:p>
    <w:p w14:paraId="57E1D3C7">
      <w:pPr>
        <w:pStyle w:val="39"/>
        <w:ind w:left="0"/>
        <w:jc w:val="both"/>
        <w:rPr>
          <w:rFonts w:ascii="Arial" w:hAnsi="Arial" w:cs="Arial"/>
          <w:sz w:val="22"/>
          <w:szCs w:val="22"/>
        </w:rPr>
      </w:pPr>
      <w:r>
        <w:rPr>
          <w:rFonts w:ascii="Arial" w:hAnsi="Arial" w:cs="Arial"/>
          <w:sz w:val="22"/>
          <w:szCs w:val="22"/>
          <w:lang w:val="pt-BR"/>
        </w:rPr>
        <w:t>1 – Nos preços estão inclusos todos os custos básicos diretos, bem como quaisquer outros custos ou despesas que incidam ou venham a incidir direta ou indiretamente que porventura possam recair sobre o fornecimento.</w:t>
      </w:r>
    </w:p>
    <w:p w14:paraId="0D864B45">
      <w:pPr>
        <w:pStyle w:val="39"/>
        <w:ind w:left="0"/>
        <w:jc w:val="both"/>
        <w:rPr>
          <w:rFonts w:ascii="Arial" w:hAnsi="Arial" w:cs="Arial"/>
          <w:sz w:val="22"/>
          <w:szCs w:val="22"/>
        </w:rPr>
      </w:pPr>
      <w:r>
        <w:rPr>
          <w:rFonts w:ascii="Arial" w:hAnsi="Arial" w:cs="Arial"/>
          <w:sz w:val="22"/>
          <w:szCs w:val="22"/>
          <w:lang w:val="pt-BR"/>
        </w:rPr>
        <w:t>2 – Declaramos que temos pleno conhecimento de todas as condições estabelecidas no termo de referência, edital e anexos, bem como do (s) local (is) de entrega do objeto licitado.</w:t>
      </w:r>
    </w:p>
    <w:p w14:paraId="74023E9A">
      <w:pPr>
        <w:pStyle w:val="39"/>
        <w:ind w:left="0"/>
        <w:jc w:val="both"/>
        <w:rPr>
          <w:rFonts w:ascii="Arial" w:hAnsi="Arial" w:cs="Arial"/>
          <w:sz w:val="22"/>
          <w:szCs w:val="22"/>
        </w:rPr>
      </w:pPr>
      <w:r>
        <w:rPr>
          <w:rFonts w:ascii="Arial" w:hAnsi="Arial" w:cs="Arial"/>
          <w:sz w:val="22"/>
          <w:szCs w:val="22"/>
          <w:lang w:val="pt-BR"/>
        </w:rPr>
        <w:t>3 – Declaramos que assumimos inteira e completa responsabilidade pela perfeita execução da entrega dos produtos/serviços, conforme condições estabelecidas no termo de referência, edital e anexos.</w:t>
      </w:r>
    </w:p>
    <w:p w14:paraId="15287E0D">
      <w:pPr>
        <w:pStyle w:val="39"/>
        <w:ind w:left="0"/>
        <w:jc w:val="both"/>
        <w:rPr>
          <w:rFonts w:ascii="Arial" w:hAnsi="Arial" w:cs="Arial"/>
          <w:sz w:val="22"/>
          <w:szCs w:val="22"/>
        </w:rPr>
      </w:pPr>
      <w:r>
        <w:rPr>
          <w:rFonts w:ascii="Arial" w:hAnsi="Arial" w:cs="Arial"/>
          <w:sz w:val="22"/>
          <w:szCs w:val="22"/>
          <w:lang w:val="pt-BR"/>
        </w:rPr>
        <w:t>4 – Declaramos que possuímos total capacidade técnica para atendermos ao objeto solicitado.</w:t>
      </w:r>
    </w:p>
    <w:p w14:paraId="4D7885F9">
      <w:pPr>
        <w:pStyle w:val="39"/>
        <w:ind w:left="0"/>
        <w:jc w:val="both"/>
        <w:rPr>
          <w:rFonts w:ascii="Arial" w:hAnsi="Arial" w:cs="Arial"/>
          <w:sz w:val="22"/>
          <w:szCs w:val="22"/>
        </w:rPr>
      </w:pPr>
      <w:r>
        <w:rPr>
          <w:rFonts w:ascii="Arial" w:hAnsi="Arial" w:cs="Arial"/>
          <w:sz w:val="22"/>
          <w:szCs w:val="22"/>
          <w:lang w:val="pt-BR"/>
        </w:rPr>
        <w:t>5 – O prazo de validade da proposta é de 120 (cento e vinte) dias corridos, contados da entrega dos envelopes “PROPOSTA DE PREÇOS”.</w:t>
      </w:r>
    </w:p>
    <w:p w14:paraId="23B885B7">
      <w:pPr>
        <w:pStyle w:val="24"/>
        <w:jc w:val="both"/>
        <w:rPr>
          <w:sz w:val="22"/>
          <w:szCs w:val="22"/>
        </w:rPr>
      </w:pPr>
      <w:r>
        <w:rPr>
          <w:sz w:val="22"/>
          <w:szCs w:val="22"/>
        </w:rPr>
        <w:t>6 – O prazo de realização dos serviços/entrega do produto é</w:t>
      </w:r>
      <w:r>
        <w:rPr>
          <w:b/>
          <w:sz w:val="22"/>
          <w:szCs w:val="22"/>
        </w:rPr>
        <w:t xml:space="preserve"> </w:t>
      </w:r>
      <w:r>
        <w:rPr>
          <w:sz w:val="22"/>
          <w:szCs w:val="22"/>
        </w:rPr>
        <w:t>de acordo com o previsto contida no edital e seus anexos.</w:t>
      </w:r>
    </w:p>
    <w:p w14:paraId="2DE6003A">
      <w:pPr>
        <w:pStyle w:val="24"/>
        <w:jc w:val="both"/>
        <w:rPr>
          <w:sz w:val="22"/>
          <w:szCs w:val="22"/>
        </w:rPr>
      </w:pPr>
    </w:p>
    <w:p w14:paraId="78EE724D">
      <w:pPr>
        <w:ind w:left="426" w:hanging="426"/>
        <w:jc w:val="both"/>
      </w:pPr>
      <w:r>
        <w:t>7 – Apresentamos, conforme exigido, nossos dados bancários:</w:t>
      </w:r>
    </w:p>
    <w:p w14:paraId="7B7C852B">
      <w:pPr>
        <w:spacing w:line="360" w:lineRule="auto"/>
        <w:ind w:firstLine="284"/>
        <w:jc w:val="both"/>
      </w:pPr>
    </w:p>
    <w:p w14:paraId="6EA3F658">
      <w:pPr>
        <w:spacing w:line="360" w:lineRule="auto"/>
        <w:ind w:firstLine="284"/>
        <w:jc w:val="both"/>
      </w:pPr>
      <w:r>
        <w:t>NOME DO BANCO ......................... N° ...............</w:t>
      </w:r>
    </w:p>
    <w:p w14:paraId="232E9045">
      <w:pPr>
        <w:spacing w:line="360" w:lineRule="auto"/>
        <w:ind w:firstLine="284"/>
        <w:jc w:val="both"/>
      </w:pPr>
      <w:r>
        <w:t>NOME DA AGÊNCIA ....................... N° ..............</w:t>
      </w:r>
    </w:p>
    <w:p w14:paraId="4C617C1C">
      <w:pPr>
        <w:spacing w:line="360" w:lineRule="auto"/>
        <w:ind w:firstLine="284"/>
        <w:jc w:val="both"/>
      </w:pPr>
      <w:r>
        <w:t>NÚMERO DA CONTA ..........................................</w:t>
      </w:r>
    </w:p>
    <w:p w14:paraId="258E6AB6">
      <w:pPr>
        <w:jc w:val="both"/>
      </w:pPr>
    </w:p>
    <w:p w14:paraId="221380F7">
      <w:pPr>
        <w:jc w:val="both"/>
      </w:pPr>
    </w:p>
    <w:p w14:paraId="07E0B29B">
      <w:pPr>
        <w:jc w:val="both"/>
      </w:pPr>
    </w:p>
    <w:p w14:paraId="2D3EAB90">
      <w:pPr>
        <w:jc w:val="both"/>
      </w:pPr>
    </w:p>
    <w:p w14:paraId="52E31E3B">
      <w:pPr>
        <w:jc w:val="both"/>
      </w:pPr>
      <w:r>
        <w:t xml:space="preserve">                 Local/data.................................................................................</w:t>
      </w:r>
    </w:p>
    <w:p w14:paraId="6E0B9206">
      <w:pPr>
        <w:jc w:val="center"/>
      </w:pPr>
    </w:p>
    <w:p w14:paraId="2DE0D27B">
      <w:pPr>
        <w:jc w:val="center"/>
      </w:pPr>
    </w:p>
    <w:p w14:paraId="44C63E01">
      <w:pPr>
        <w:jc w:val="center"/>
      </w:pPr>
    </w:p>
    <w:p w14:paraId="4CEDF327">
      <w:pPr>
        <w:jc w:val="center"/>
      </w:pPr>
    </w:p>
    <w:p w14:paraId="5F960C7D">
      <w:pPr>
        <w:jc w:val="center"/>
      </w:pPr>
      <w:r>
        <w:t>(Assinatura do Representante Legal pela Empresa)</w:t>
      </w:r>
    </w:p>
    <w:p w14:paraId="1A69F1C7">
      <w:pPr>
        <w:jc w:val="center"/>
      </w:pPr>
      <w:r>
        <w:t>Nome/Cargo e Carimbo CNPJ</w:t>
      </w:r>
    </w:p>
    <w:p w14:paraId="7975D13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sz w:val="24"/>
          <w:szCs w:val="24"/>
        </w:rPr>
      </w:pPr>
      <w:r>
        <w:rPr>
          <w:sz w:val="24"/>
          <w:szCs w:val="24"/>
        </w:rPr>
        <w:br w:type="page"/>
      </w:r>
    </w:p>
    <w:p w14:paraId="0F5A1696">
      <w:pPr>
        <w:jc w:val="center"/>
      </w:pPr>
      <w:r>
        <w:rPr>
          <w:b/>
        </w:rPr>
        <w:t>PAPEL TIMBRADO DA EMPRESA LICITANTE</w:t>
      </w:r>
    </w:p>
    <w:p w14:paraId="0E21200F">
      <w:pPr>
        <w:jc w:val="both"/>
        <w:rPr>
          <w:b/>
          <w:color w:val="000000"/>
          <w:lang w:val="zh-CN"/>
        </w:rPr>
      </w:pPr>
    </w:p>
    <w:p w14:paraId="27D78F55">
      <w:pPr>
        <w:pStyle w:val="2"/>
        <w:autoSpaceDE w:val="0"/>
        <w:spacing w:before="0" w:after="0"/>
        <w:jc w:val="center"/>
        <w:rPr>
          <w:rFonts w:ascii="Arial" w:hAnsi="Arial" w:cs="Arial"/>
          <w:b/>
          <w:bCs/>
          <w:color w:val="000000" w:themeColor="text1"/>
          <w:sz w:val="24"/>
          <w:szCs w:val="24"/>
          <w14:textFill>
            <w14:solidFill>
              <w14:schemeClr w14:val="tx1"/>
            </w14:solidFill>
          </w14:textFill>
        </w:rPr>
      </w:pPr>
      <w:bookmarkStart w:id="37" w:name="__RefHeading___Toc190782038"/>
      <w:bookmarkEnd w:id="37"/>
      <w:r>
        <w:rPr>
          <w:rFonts w:ascii="Arial" w:hAnsi="Arial" w:eastAsia="SimSun" w:cs="Arial"/>
          <w:b/>
          <w:bCs/>
          <w:color w:val="000000" w:themeColor="text1"/>
          <w:sz w:val="24"/>
          <w:szCs w:val="24"/>
          <w14:textFill>
            <w14:solidFill>
              <w14:schemeClr w14:val="tx1"/>
            </w14:solidFill>
          </w14:textFill>
        </w:rPr>
        <w:t>ANEXO IV: MODELO DE DECLARAÇÕES – PARA TODAS AS EMPRESAS.</w:t>
      </w:r>
    </w:p>
    <w:p w14:paraId="13A265FB">
      <w:pPr>
        <w:jc w:val="both"/>
        <w:rPr>
          <w:rFonts w:eastAsia="SimSun"/>
          <w:b/>
          <w:color w:val="000000"/>
          <w:kern w:val="2"/>
        </w:rPr>
      </w:pPr>
    </w:p>
    <w:p w14:paraId="582F0734">
      <w:pPr>
        <w:jc w:val="both"/>
      </w:pPr>
      <w:r>
        <w:rPr>
          <w:b/>
          <w:color w:val="000000"/>
        </w:rPr>
        <w:t>À</w:t>
      </w:r>
    </w:p>
    <w:p w14:paraId="1F343880">
      <w:pPr>
        <w:jc w:val="both"/>
      </w:pPr>
      <w:r>
        <w:rPr>
          <w:b/>
          <w:color w:val="000000"/>
        </w:rPr>
        <w:t>PREFEITURA MUNICIPAL DE RONDONÓPOLIS-MT.</w:t>
      </w:r>
    </w:p>
    <w:p w14:paraId="31683B7A">
      <w:pPr>
        <w:jc w:val="both"/>
      </w:pPr>
      <w:r>
        <w:rPr>
          <w:b/>
          <w:color w:val="000000"/>
        </w:rPr>
        <w:t>REF.: EDITAL DE LICITAÇÃO - MODALIDADE PREGÃO ___/2025.</w:t>
      </w:r>
    </w:p>
    <w:p w14:paraId="06BE7AE9">
      <w:pPr>
        <w:jc w:val="both"/>
      </w:pPr>
      <w:r>
        <w:rPr>
          <w:b/>
          <w:color w:val="000000"/>
        </w:rPr>
        <w:t>TIPO MENOR PREÇO POR ITEM/LOTE.</w:t>
      </w:r>
    </w:p>
    <w:p w14:paraId="547DE9FA">
      <w:pPr>
        <w:jc w:val="both"/>
        <w:rPr>
          <w:b/>
          <w:color w:val="000000"/>
        </w:rPr>
      </w:pPr>
    </w:p>
    <w:p w14:paraId="7D85F189">
      <w:pPr>
        <w:jc w:val="both"/>
      </w:pPr>
      <w:r>
        <w:t>Ref: Edital do Pregão Eletrônico n° ___/2025</w:t>
      </w:r>
    </w:p>
    <w:p w14:paraId="16900D2F">
      <w:pPr>
        <w:jc w:val="both"/>
      </w:pPr>
    </w:p>
    <w:p w14:paraId="2F5673A8">
      <w:pPr>
        <w:jc w:val="both"/>
      </w:pPr>
      <w:r>
        <w:t>A Empresa (nome da empresa) inscrita no CNPJ/MF sob n° __________ sediada na ___________________, Bairro ____________, CEP___________, Município _________________, por seu representante legal abaixo assinado, em cumprimento ao solicitado no Edital de Pregão Eletrônico n° 0XX/2025, DECLARA, sob as penas da lei que:</w:t>
      </w:r>
    </w:p>
    <w:p w14:paraId="229FB49F">
      <w:pPr>
        <w:jc w:val="both"/>
      </w:pPr>
    </w:p>
    <w:p w14:paraId="63E10144">
      <w:pPr>
        <w:jc w:val="both"/>
      </w:pPr>
      <w:r>
        <w:rPr>
          <w:b/>
        </w:rPr>
        <w:t>a)</w:t>
      </w:r>
      <w:r>
        <w:t xml:space="preserve"> Está ciente e concorda com as condições do Edital do supracitado Pregão Eletrônico e seus anexos, bem como de que cumpre plenamente os requisitos de habilitação definidos no referido documento, para todos os efeitos legais, sob pena de aplicação das sanções cabíveis;</w:t>
      </w:r>
    </w:p>
    <w:p w14:paraId="49FA6ECF">
      <w:pPr>
        <w:jc w:val="both"/>
      </w:pPr>
    </w:p>
    <w:p w14:paraId="2779E4A0">
      <w:pPr>
        <w:jc w:val="both"/>
      </w:pPr>
      <w:r>
        <w:rPr>
          <w:b/>
        </w:rPr>
        <w:t>b)</w:t>
      </w:r>
      <w:r>
        <w:t xml:space="preserve"> Cumpre com as exigências de reserva de cargos para pessoa com deficiência e para reabilitado da Previdência Social, previstas em lei e em outras normas específicas;</w:t>
      </w:r>
    </w:p>
    <w:p w14:paraId="0A449769">
      <w:pPr>
        <w:jc w:val="both"/>
      </w:pPr>
    </w:p>
    <w:p w14:paraId="04713CFD">
      <w:pPr>
        <w:jc w:val="both"/>
      </w:pPr>
      <w:r>
        <w:rPr>
          <w:b/>
        </w:rPr>
        <w:t>c)</w:t>
      </w:r>
      <w:r>
        <w:t xml:space="preserve"> 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073D5EFA">
      <w:pPr>
        <w:jc w:val="both"/>
      </w:pPr>
    </w:p>
    <w:p w14:paraId="58713E9D">
      <w:pPr>
        <w:jc w:val="both"/>
      </w:pPr>
      <w:r>
        <w:rPr>
          <w:b/>
        </w:rPr>
        <w:t>d)</w:t>
      </w:r>
      <w:r>
        <w:t xml:space="preserve"> Não possui em seu quadro de pessoal e societário, servidor público do Poder Executivo Estadual exercendo funções de gerência ou administração, conforme art. 1, inciso X da Lei Complementar Estadual nº 04/1990, ou servidor do Órgão/Entidade contratante em qualquer função, nos termos do art. 9º, §1º da Lei Federal nº 14.133/2021;</w:t>
      </w:r>
    </w:p>
    <w:p w14:paraId="0B7BE3CE">
      <w:pPr>
        <w:jc w:val="both"/>
      </w:pPr>
    </w:p>
    <w:p w14:paraId="2ADF165A">
      <w:pPr>
        <w:jc w:val="both"/>
      </w:pPr>
      <w:r>
        <w:rPr>
          <w:b/>
        </w:rPr>
        <w:t>e)</w:t>
      </w:r>
      <w:r>
        <w:t xml:space="preserve"> Não há sanções vigentes que legalmente proíbam a participante de licitar e/ou contratar com o Órgão/Entidade contratante;</w:t>
      </w:r>
    </w:p>
    <w:p w14:paraId="4B693D3B">
      <w:pPr>
        <w:jc w:val="both"/>
      </w:pPr>
    </w:p>
    <w:p w14:paraId="1F5EE5AA">
      <w:pPr>
        <w:jc w:val="both"/>
      </w:pPr>
      <w:r>
        <w:rPr>
          <w:b/>
        </w:rPr>
        <w:t>f)</w:t>
      </w:r>
      <w:r>
        <w:t xml:space="preserve"> Não possui em seu quadro de pessoal empregados (s) com menos de 18 (dezoito) anos em trabalho noturno, perigoso ou insalubre, e menores de 16 (dezesseis) anos, em qualquer trabalho, salvo na condição de aprendiz, a partir de 14 (quatorze) anos, nos termos do inciso XXXIII do art. 7 º da Constituição Federal e inciso VI, artigo 68 da Lei nº 14.133/2021;</w:t>
      </w:r>
    </w:p>
    <w:p w14:paraId="169D6D72">
      <w:pPr>
        <w:jc w:val="both"/>
      </w:pPr>
    </w:p>
    <w:p w14:paraId="307C7B38">
      <w:pPr>
        <w:jc w:val="both"/>
      </w:pPr>
      <w:r>
        <w:rPr>
          <w:b/>
        </w:rPr>
        <w:t>g)</w:t>
      </w:r>
      <w:r>
        <w:t xml:space="preserve"> Não possui, em sua cadeia produtiva, empregados executando trabalho degradante ou forçado, observando o disposto nos incisos III e IV do art.1º e no inciso III do art. 5º da Constituição Federal.</w:t>
      </w:r>
    </w:p>
    <w:p w14:paraId="328FCDCA">
      <w:pPr>
        <w:jc w:val="both"/>
      </w:pPr>
    </w:p>
    <w:p w14:paraId="51D68BEF">
      <w:pPr>
        <w:jc w:val="both"/>
      </w:pPr>
      <w:r>
        <w:rPr>
          <w:b/>
          <w:i/>
          <w:iCs/>
        </w:rPr>
        <w:t xml:space="preserve">Obs.: No caso de Microempresa e Empresa de Pequeno Porte, e MEI </w:t>
      </w:r>
      <w:r>
        <w:rPr>
          <w:b/>
        </w:rPr>
        <w:t xml:space="preserve">(Art 23, LC 605/2018/MT) </w:t>
      </w:r>
      <w:r>
        <w:rPr>
          <w:b/>
          <w:i/>
          <w:iCs/>
        </w:rPr>
        <w:t>que, nos termos da LC 123/2006, possuir alguma restrição na documentação referente à regularidade fiscal, esta deverá ser mencionada, como ressalva, na supracitada declaração.</w:t>
      </w:r>
    </w:p>
    <w:p w14:paraId="2EC32997">
      <w:pPr>
        <w:jc w:val="both"/>
        <w:rPr>
          <w:i/>
          <w:iCs/>
        </w:rPr>
      </w:pPr>
    </w:p>
    <w:p w14:paraId="101F5090">
      <w:pPr>
        <w:jc w:val="both"/>
      </w:pPr>
      <w:r>
        <w:t>( ) Ressalva: emprega menor, a partir de quatorze anos, na condição de aprendiz*.</w:t>
      </w:r>
    </w:p>
    <w:p w14:paraId="1C625B76">
      <w:pPr>
        <w:jc w:val="both"/>
      </w:pPr>
    </w:p>
    <w:p w14:paraId="045B8BB9">
      <w:pPr>
        <w:jc w:val="center"/>
      </w:pPr>
      <w:r>
        <w:t>XXXXXXX - UF, _____, ____________de 2025.</w:t>
      </w:r>
    </w:p>
    <w:p w14:paraId="470BE11E">
      <w:pPr>
        <w:jc w:val="center"/>
      </w:pPr>
    </w:p>
    <w:p w14:paraId="2DC81C7C">
      <w:pPr>
        <w:jc w:val="center"/>
      </w:pPr>
      <w:r>
        <w:t>----------------------------------------------------------</w:t>
      </w:r>
    </w:p>
    <w:p w14:paraId="70F979B1">
      <w:pPr>
        <w:jc w:val="center"/>
      </w:pPr>
      <w:r>
        <w:t>CARIMBO E ASSINATURA DO REPRESENTANTE</w:t>
      </w:r>
    </w:p>
    <w:p w14:paraId="2DBE616E">
      <w:pPr>
        <w:jc w:val="center"/>
      </w:pPr>
      <w:r>
        <w:t>LEGAL DA EMPRESA</w:t>
      </w:r>
    </w:p>
    <w:p w14:paraId="7BAC829D">
      <w:pPr>
        <w:jc w:val="both"/>
        <w:rPr>
          <w:i/>
          <w:iCs/>
        </w:rPr>
      </w:pPr>
    </w:p>
    <w:p w14:paraId="241BB015">
      <w:pPr>
        <w:jc w:val="both"/>
      </w:pPr>
      <w:r>
        <w:rPr>
          <w:i/>
          <w:iCs/>
        </w:rPr>
        <w:t>* Observação: em caso afirmativo, assinalar a ressalva acima.</w:t>
      </w:r>
    </w:p>
    <w:p w14:paraId="553ED099">
      <w:pPr>
        <w:jc w:val="both"/>
      </w:pPr>
    </w:p>
    <w:p w14:paraId="65D5558C">
      <w:pPr>
        <w:jc w:val="both"/>
        <w:rPr>
          <w:color w:val="000000"/>
        </w:rPr>
      </w:pPr>
    </w:p>
    <w:p w14:paraId="443FBF24">
      <w:pPr>
        <w:jc w:val="both"/>
        <w:rPr>
          <w:color w:val="000000"/>
        </w:rPr>
      </w:pPr>
    </w:p>
    <w:p w14:paraId="59236915">
      <w:pPr>
        <w:jc w:val="both"/>
        <w:rPr>
          <w:color w:val="000000"/>
        </w:rPr>
      </w:pPr>
    </w:p>
    <w:p w14:paraId="4B8A79B1">
      <w:pPr>
        <w:jc w:val="both"/>
        <w:rPr>
          <w:color w:val="000000"/>
        </w:rPr>
      </w:pPr>
    </w:p>
    <w:p w14:paraId="235A8FFE">
      <w:pPr>
        <w:jc w:val="both"/>
        <w:rPr>
          <w:color w:val="000000"/>
        </w:rPr>
      </w:pPr>
    </w:p>
    <w:p w14:paraId="5758D178">
      <w:pPr>
        <w:jc w:val="both"/>
        <w:rPr>
          <w:color w:val="000000"/>
        </w:rPr>
      </w:pPr>
    </w:p>
    <w:p w14:paraId="1FAFE5B9">
      <w:pPr>
        <w:jc w:val="both"/>
        <w:rPr>
          <w:color w:val="000000"/>
        </w:rPr>
      </w:pPr>
    </w:p>
    <w:p w14:paraId="11B0CCC0">
      <w:pPr>
        <w:jc w:val="both"/>
        <w:rPr>
          <w:color w:val="000000"/>
        </w:rPr>
      </w:pPr>
    </w:p>
    <w:p w14:paraId="3E2433C7">
      <w:pPr>
        <w:jc w:val="both"/>
        <w:rPr>
          <w:color w:val="000000"/>
        </w:rPr>
      </w:pPr>
    </w:p>
    <w:p w14:paraId="61F39C97">
      <w:pPr>
        <w:jc w:val="both"/>
        <w:rPr>
          <w:color w:val="000000"/>
        </w:rPr>
      </w:pPr>
    </w:p>
    <w:p w14:paraId="61AF4B4D">
      <w:pPr>
        <w:jc w:val="both"/>
        <w:rPr>
          <w:color w:val="000000"/>
        </w:rPr>
      </w:pPr>
    </w:p>
    <w:p w14:paraId="24788EB3">
      <w:pPr>
        <w:jc w:val="both"/>
        <w:rPr>
          <w:color w:val="000000"/>
        </w:rPr>
      </w:pPr>
    </w:p>
    <w:p w14:paraId="7107970B">
      <w:pPr>
        <w:jc w:val="both"/>
        <w:rPr>
          <w:color w:val="000000"/>
        </w:rPr>
      </w:pPr>
    </w:p>
    <w:p w14:paraId="1C08AF78">
      <w:pPr>
        <w:jc w:val="both"/>
        <w:rPr>
          <w:color w:val="000000"/>
        </w:rPr>
      </w:pPr>
    </w:p>
    <w:p w14:paraId="0394B74A">
      <w:pPr>
        <w:jc w:val="both"/>
        <w:rPr>
          <w:color w:val="000000"/>
        </w:rPr>
      </w:pPr>
    </w:p>
    <w:p w14:paraId="1C9CE2FD">
      <w:pPr>
        <w:jc w:val="both"/>
        <w:rPr>
          <w:color w:val="000000"/>
        </w:rPr>
      </w:pPr>
    </w:p>
    <w:p w14:paraId="67D9E260">
      <w:pPr>
        <w:jc w:val="both"/>
        <w:rPr>
          <w:color w:val="000000"/>
        </w:rPr>
      </w:pPr>
    </w:p>
    <w:p w14:paraId="0753C8F1">
      <w:pPr>
        <w:jc w:val="both"/>
        <w:rPr>
          <w:color w:val="000000"/>
        </w:rPr>
      </w:pPr>
    </w:p>
    <w:p w14:paraId="10D4F579">
      <w:pPr>
        <w:jc w:val="both"/>
        <w:rPr>
          <w:color w:val="000000"/>
        </w:rPr>
      </w:pPr>
    </w:p>
    <w:p w14:paraId="45A21F60">
      <w:pPr>
        <w:jc w:val="both"/>
        <w:rPr>
          <w:color w:val="000000"/>
        </w:rPr>
      </w:pPr>
    </w:p>
    <w:p w14:paraId="7A5F40F7">
      <w:pPr>
        <w:jc w:val="both"/>
        <w:rPr>
          <w:color w:val="000000"/>
        </w:rPr>
      </w:pPr>
    </w:p>
    <w:p w14:paraId="0C78A05F">
      <w:pPr>
        <w:jc w:val="both"/>
        <w:rPr>
          <w:color w:val="000000"/>
        </w:rPr>
      </w:pPr>
    </w:p>
    <w:p w14:paraId="2E92B455">
      <w:pPr>
        <w:jc w:val="both"/>
        <w:rPr>
          <w:color w:val="000000"/>
        </w:rPr>
      </w:pPr>
    </w:p>
    <w:p w14:paraId="6716CCB3">
      <w:pPr>
        <w:jc w:val="both"/>
        <w:rPr>
          <w:color w:val="000000"/>
        </w:rPr>
      </w:pPr>
    </w:p>
    <w:p w14:paraId="5B5E9C3C">
      <w:pPr>
        <w:jc w:val="both"/>
        <w:rPr>
          <w:color w:val="000000"/>
        </w:rPr>
      </w:pPr>
    </w:p>
    <w:p w14:paraId="2B028F6C">
      <w:pPr>
        <w:jc w:val="both"/>
        <w:rPr>
          <w:color w:val="000000"/>
        </w:rPr>
      </w:pPr>
    </w:p>
    <w:p w14:paraId="1B53CFED">
      <w:pPr>
        <w:jc w:val="both"/>
        <w:rPr>
          <w:color w:val="000000"/>
        </w:rPr>
      </w:pPr>
    </w:p>
    <w:p w14:paraId="69B0983A">
      <w:pPr>
        <w:jc w:val="both"/>
        <w:rPr>
          <w:color w:val="000000"/>
        </w:rPr>
      </w:pPr>
    </w:p>
    <w:p w14:paraId="6BF60CEE">
      <w:pPr>
        <w:jc w:val="both"/>
        <w:rPr>
          <w:color w:val="000000"/>
        </w:rPr>
      </w:pPr>
    </w:p>
    <w:p w14:paraId="4178ECE3">
      <w:pPr>
        <w:jc w:val="both"/>
        <w:rPr>
          <w:color w:val="000000"/>
        </w:rPr>
      </w:pPr>
    </w:p>
    <w:p w14:paraId="2F57F581">
      <w:pPr>
        <w:jc w:val="both"/>
        <w:rPr>
          <w:color w:val="000000"/>
        </w:rPr>
      </w:pPr>
    </w:p>
    <w:p w14:paraId="22860A9C">
      <w:pPr>
        <w:jc w:val="both"/>
        <w:rPr>
          <w:color w:val="000000"/>
        </w:rPr>
      </w:pPr>
    </w:p>
    <w:p w14:paraId="5B1E6672">
      <w:pPr>
        <w:jc w:val="both"/>
        <w:rPr>
          <w:color w:val="000000"/>
        </w:rPr>
      </w:pPr>
    </w:p>
    <w:p w14:paraId="11E2531D">
      <w:pPr>
        <w:jc w:val="both"/>
        <w:rPr>
          <w:color w:val="000000"/>
        </w:rPr>
      </w:pPr>
    </w:p>
    <w:p w14:paraId="5C949567">
      <w:pPr>
        <w:pBdr>
          <w:top w:val="single" w:color="000000" w:sz="4" w:space="1"/>
          <w:left w:val="single" w:color="000000" w:sz="4" w:space="4"/>
          <w:bottom w:val="single" w:color="000000" w:sz="4" w:space="1"/>
          <w:right w:val="single" w:color="000000" w:sz="4" w:space="4"/>
        </w:pBdr>
        <w:tabs>
          <w:tab w:val="left" w:pos="8576"/>
          <w:tab w:val="left" w:pos="10419"/>
        </w:tabs>
        <w:jc w:val="center"/>
      </w:pPr>
      <w:r>
        <w:rPr>
          <w:b/>
        </w:rPr>
        <w:t>PAPEL TIMBRADO DA EMPRESA LICITANTE</w:t>
      </w:r>
    </w:p>
    <w:p w14:paraId="4B347BA4">
      <w:pPr>
        <w:jc w:val="both"/>
        <w:rPr>
          <w:b/>
          <w:u w:val="single"/>
        </w:rPr>
      </w:pPr>
    </w:p>
    <w:p w14:paraId="377819A5">
      <w:pPr>
        <w:pStyle w:val="2"/>
        <w:autoSpaceDE w:val="0"/>
        <w:spacing w:before="0" w:after="0"/>
        <w:jc w:val="center"/>
        <w:rPr>
          <w:rFonts w:ascii="Arial" w:hAnsi="Arial" w:cs="Arial"/>
          <w:b/>
          <w:bCs/>
          <w:color w:val="000000" w:themeColor="text1"/>
          <w:sz w:val="24"/>
          <w:szCs w:val="24"/>
          <w14:textFill>
            <w14:solidFill>
              <w14:schemeClr w14:val="tx1"/>
            </w14:solidFill>
          </w14:textFill>
        </w:rPr>
      </w:pPr>
      <w:bookmarkStart w:id="38" w:name="__RefHeading___Toc190782039"/>
      <w:bookmarkEnd w:id="38"/>
      <w:r>
        <w:rPr>
          <w:rFonts w:ascii="Arial" w:hAnsi="Arial" w:eastAsia="SimSun" w:cs="Arial"/>
          <w:b/>
          <w:bCs/>
          <w:color w:val="000000" w:themeColor="text1"/>
          <w:sz w:val="24"/>
          <w:szCs w:val="24"/>
          <w14:textFill>
            <w14:solidFill>
              <w14:schemeClr w14:val="tx1"/>
            </w14:solidFill>
          </w14:textFill>
        </w:rPr>
        <w:t>ANEXO V: DECLARAÇÃO DE ENQUADRAMENTO COMO MICROEMPRESA OU EMPRESA DE PEQUENO PORTE – APENAS PARA AS ME E EPP.</w:t>
      </w:r>
    </w:p>
    <w:p w14:paraId="157CAB55">
      <w:pPr>
        <w:jc w:val="both"/>
        <w:rPr>
          <w:rFonts w:eastAsia="SimSun"/>
          <w:b/>
          <w:kern w:val="2"/>
          <w:u w:val="single"/>
        </w:rPr>
      </w:pPr>
    </w:p>
    <w:p w14:paraId="6AC58DEE">
      <w:pPr>
        <w:jc w:val="both"/>
      </w:pPr>
      <w:r>
        <w:t>(PAPEL TIMBRADO DA EMPRESA)</w:t>
      </w:r>
    </w:p>
    <w:p w14:paraId="37E2CA30">
      <w:pPr>
        <w:jc w:val="center"/>
        <w:rPr>
          <w:b/>
        </w:rPr>
      </w:pPr>
    </w:p>
    <w:p w14:paraId="12736E7A">
      <w:pPr>
        <w:jc w:val="both"/>
      </w:pPr>
    </w:p>
    <w:p w14:paraId="71620C65">
      <w:pPr>
        <w:jc w:val="both"/>
      </w:pPr>
      <w:r>
        <w:t>A empresa..................................................................................., inscrita no CNPJ nº .................................................................., por intermédio de seu representante legal,.........................................................................................................................., CPF nº....................................................., Carteira de Identidade nº........................................, declara, para fins de participação no pregão eletrônico nº. XX/2025, sob as penas da Lei, que é considerada:</w:t>
      </w:r>
    </w:p>
    <w:p w14:paraId="598262DF">
      <w:pPr>
        <w:jc w:val="both"/>
      </w:pPr>
    </w:p>
    <w:p w14:paraId="7A17D94E">
      <w:pPr>
        <w:jc w:val="both"/>
      </w:pPr>
      <w:r>
        <w:t>( ) microempresa, conforme inciso I do artigo 3º da Lei Complementar nº 123/06;</w:t>
      </w:r>
    </w:p>
    <w:p w14:paraId="7FF86C6F">
      <w:pPr>
        <w:jc w:val="both"/>
      </w:pPr>
    </w:p>
    <w:p w14:paraId="7864DC20">
      <w:pPr>
        <w:jc w:val="both"/>
      </w:pPr>
      <w:r>
        <w:t>( ) empresa de pequeno porte, conforme inciso II do artigo 3º da Lei Complementar 123/06.</w:t>
      </w:r>
    </w:p>
    <w:p w14:paraId="505DB6ED">
      <w:pPr>
        <w:jc w:val="both"/>
      </w:pPr>
    </w:p>
    <w:p w14:paraId="363F9351">
      <w:pPr>
        <w:jc w:val="both"/>
      </w:pPr>
      <w:r>
        <w:t>Declara que a empresa está excluída das vedações constantes do parágrafo 4º do artigo 3º da Lei Complementar nº 123/06 e que caso seja declarada vencedora do certame, promoveremos a regularização de eventuais defeitos ou restrições existentes na documentação exigida para efeito de regularidade fiscal.</w:t>
      </w:r>
    </w:p>
    <w:p w14:paraId="40034F83">
      <w:pPr>
        <w:jc w:val="both"/>
      </w:pPr>
    </w:p>
    <w:p w14:paraId="5A0E1A32">
      <w:pPr>
        <w:jc w:val="both"/>
      </w:pPr>
      <w:r>
        <w:t>Declara que no ano-calendário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14:paraId="6A0FE68C">
      <w:pPr>
        <w:jc w:val="both"/>
      </w:pPr>
    </w:p>
    <w:p w14:paraId="7F0C88C2">
      <w:pPr>
        <w:jc w:val="center"/>
      </w:pPr>
      <w:r>
        <w:t>XXXXXX, ..... de ...........................de 2025.</w:t>
      </w:r>
    </w:p>
    <w:p w14:paraId="1EE77D01">
      <w:pPr>
        <w:jc w:val="center"/>
      </w:pPr>
      <w:r>
        <w:t>(assinatura representante legal)</w:t>
      </w:r>
    </w:p>
    <w:p w14:paraId="31B35306">
      <w:pPr>
        <w:jc w:val="both"/>
      </w:pPr>
    </w:p>
    <w:p w14:paraId="4784E7D8">
      <w:pPr>
        <w:jc w:val="both"/>
      </w:pPr>
      <w:r>
        <w:t>Nota: A falsidade desta DECLARAÇÃO, objetivando os benefícios da Lei Complementar nº 123/2006, caracterizará crime de que trata o Art. 299 do Código Penal, sem prejuízo do enquadramento em outras figuras penais e das penalidades previstas neste Edital.</w:t>
      </w:r>
    </w:p>
    <w:p w14:paraId="50BF1B11">
      <w:pPr>
        <w:jc w:val="both"/>
      </w:pPr>
      <w:r>
        <w:t>Departamento de Compras.</w:t>
      </w:r>
    </w:p>
    <w:p w14:paraId="4E7E2D99">
      <w:pPr>
        <w:jc w:val="both"/>
      </w:pPr>
    </w:p>
    <w:p w14:paraId="59A818ED">
      <w:pPr>
        <w:jc w:val="both"/>
      </w:pPr>
    </w:p>
    <w:p w14:paraId="20D12DD7">
      <w:pPr>
        <w:jc w:val="both"/>
      </w:pPr>
    </w:p>
    <w:p w14:paraId="13D8609B">
      <w:pPr>
        <w:jc w:val="both"/>
      </w:pPr>
    </w:p>
    <w:p w14:paraId="6EFEE96E">
      <w:pPr>
        <w:jc w:val="both"/>
      </w:pPr>
    </w:p>
    <w:p w14:paraId="444E19F8">
      <w:pPr>
        <w:jc w:val="both"/>
      </w:pPr>
    </w:p>
    <w:p w14:paraId="0347266D">
      <w:pPr>
        <w:jc w:val="both"/>
      </w:pPr>
    </w:p>
    <w:p w14:paraId="5B99C337">
      <w:pPr>
        <w:jc w:val="both"/>
      </w:pPr>
    </w:p>
    <w:p w14:paraId="34E307D9">
      <w:pPr>
        <w:jc w:val="both"/>
      </w:pPr>
    </w:p>
    <w:p w14:paraId="4B969E5E">
      <w:pPr>
        <w:pStyle w:val="2"/>
        <w:autoSpaceDE w:val="0"/>
        <w:spacing w:before="0" w:after="0"/>
        <w:jc w:val="center"/>
        <w:rPr>
          <w:rFonts w:ascii="Arial" w:hAnsi="Arial" w:cs="Arial"/>
          <w:b/>
          <w:bCs/>
          <w:color w:val="000000" w:themeColor="text1"/>
          <w:sz w:val="24"/>
          <w:szCs w:val="24"/>
          <w14:textFill>
            <w14:solidFill>
              <w14:schemeClr w14:val="tx1"/>
            </w14:solidFill>
          </w14:textFill>
        </w:rPr>
      </w:pPr>
      <w:r>
        <w:rPr>
          <w:rFonts w:ascii="Arial" w:hAnsi="Arial" w:eastAsia="SimSun" w:cs="Arial"/>
          <w:b/>
          <w:bCs/>
          <w:color w:val="000000" w:themeColor="text1"/>
          <w:sz w:val="24"/>
          <w:szCs w:val="24"/>
          <w14:textFill>
            <w14:solidFill>
              <w14:schemeClr w14:val="tx1"/>
            </w14:solidFill>
          </w14:textFill>
        </w:rPr>
        <w:t>ANEXO VI: TERMO DE REFERÊNCIA</w:t>
      </w:r>
    </w:p>
    <w:p w14:paraId="6C46565C">
      <w:pPr>
        <w:jc w:val="both"/>
      </w:pPr>
    </w:p>
    <w:p w14:paraId="616BFBEF">
      <w:pPr>
        <w:jc w:val="center"/>
        <w:rPr>
          <w:b/>
          <w:u w:val="single"/>
        </w:rPr>
      </w:pPr>
      <w:r>
        <w:rPr>
          <w:b/>
          <w:u w:val="single"/>
        </w:rPr>
        <w:t xml:space="preserve">TERMO DE REFERÊNCIA  </w:t>
      </w:r>
    </w:p>
    <w:p w14:paraId="06ACEB0D">
      <w:pPr>
        <w:pStyle w:val="3"/>
        <w:numPr>
          <w:ilvl w:val="0"/>
          <w:numId w:val="6"/>
        </w:numPr>
        <w:rPr>
          <w:rFonts w:ascii="Arial" w:hAnsi="Arial" w:cs="Arial"/>
          <w:b/>
          <w:bCs/>
          <w:color w:val="000000" w:themeColor="text1"/>
          <w:sz w:val="24"/>
          <w:szCs w:val="24"/>
          <w14:textFill>
            <w14:solidFill>
              <w14:schemeClr w14:val="tx1"/>
            </w14:solidFill>
          </w14:textFill>
        </w:rPr>
      </w:pPr>
      <w:r>
        <w:rPr>
          <w:rFonts w:ascii="Arial" w:hAnsi="Arial" w:cs="Arial"/>
          <w:b/>
          <w:bCs/>
          <w:color w:val="000000" w:themeColor="text1"/>
          <w:sz w:val="24"/>
          <w:szCs w:val="24"/>
          <w14:textFill>
            <w14:solidFill>
              <w14:schemeClr w14:val="tx1"/>
            </w14:solidFill>
          </w14:textFill>
        </w:rPr>
        <w:t xml:space="preserve">DO OBJETO </w:t>
      </w:r>
    </w:p>
    <w:p w14:paraId="32C2026D">
      <w:pPr>
        <w:pStyle w:val="72"/>
        <w:numPr>
          <w:ilvl w:val="1"/>
          <w:numId w:val="6"/>
        </w:numPr>
        <w:suppressAutoHyphens/>
        <w:spacing w:before="240" w:after="240" w:line="360" w:lineRule="auto"/>
        <w:ind w:left="0" w:firstLine="0"/>
        <w:contextualSpacing w:val="0"/>
        <w:jc w:val="both"/>
      </w:pPr>
      <w:r>
        <w:t>A presente contratação tem por objeto o estabelecimento de um Registro de Preço para a prestação de serviços de fiscalização eletrônica automática de infrações de trânsito, compreendendo o monitoramento, registro, armazenamento e processamento de informações e imagens relativas a infrações de avanço de sinal vermelho e parada sobre faixa de pedestres em cruzamentos semafóricos, bem como, conforme configuração dos equipamentos e necessidade da Secretaria Municipal de Mobilidade Urbana (SEMOB) de Rondonópolis-MT, a fiscalização de excesso de velocidade.</w:t>
      </w:r>
    </w:p>
    <w:p w14:paraId="57E3EBFC">
      <w:pPr>
        <w:pStyle w:val="72"/>
        <w:numPr>
          <w:ilvl w:val="1"/>
          <w:numId w:val="6"/>
        </w:numPr>
        <w:suppressAutoHyphens/>
        <w:spacing w:before="240" w:after="240" w:line="360" w:lineRule="auto"/>
        <w:ind w:left="0" w:firstLine="0"/>
        <w:contextualSpacing w:val="0"/>
        <w:jc w:val="both"/>
      </w:pPr>
      <w:r>
        <w:t>A solução deverá incluir o fornecimento, instalação, operação, manutenção e gestão dos equipamentos eletrônicos e sistemas necessários para a execução dos serviços descritos, atendendo aos requisitos técnicos e normativos aplicáveis.</w:t>
      </w:r>
    </w:p>
    <w:tbl>
      <w:tblPr>
        <w:tblStyle w:val="40"/>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134"/>
        <w:gridCol w:w="3402"/>
        <w:gridCol w:w="709"/>
        <w:gridCol w:w="604"/>
        <w:gridCol w:w="1127"/>
        <w:gridCol w:w="1954"/>
      </w:tblGrid>
      <w:tr w14:paraId="15979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704" w:type="dxa"/>
            <w:vAlign w:val="center"/>
          </w:tcPr>
          <w:p w14:paraId="2849A2F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Item</w:t>
            </w:r>
          </w:p>
        </w:tc>
        <w:tc>
          <w:tcPr>
            <w:tcW w:w="1134" w:type="dxa"/>
            <w:vAlign w:val="center"/>
          </w:tcPr>
          <w:p w14:paraId="2BFDDB9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CÓD. TCE</w:t>
            </w:r>
          </w:p>
        </w:tc>
        <w:tc>
          <w:tcPr>
            <w:tcW w:w="3402" w:type="dxa"/>
            <w:vAlign w:val="center"/>
          </w:tcPr>
          <w:p w14:paraId="44DECF8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Descrição</w:t>
            </w:r>
          </w:p>
        </w:tc>
        <w:tc>
          <w:tcPr>
            <w:tcW w:w="709" w:type="dxa"/>
            <w:vAlign w:val="center"/>
          </w:tcPr>
          <w:p w14:paraId="32CB6DE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Unidade</w:t>
            </w:r>
          </w:p>
        </w:tc>
        <w:tc>
          <w:tcPr>
            <w:tcW w:w="604" w:type="dxa"/>
            <w:vAlign w:val="center"/>
          </w:tcPr>
          <w:p w14:paraId="414492F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Qtd</w:t>
            </w:r>
          </w:p>
        </w:tc>
        <w:tc>
          <w:tcPr>
            <w:tcW w:w="1127" w:type="dxa"/>
            <w:vAlign w:val="center"/>
          </w:tcPr>
          <w:p w14:paraId="7EC7936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Valor Unitário Mensal</w:t>
            </w:r>
          </w:p>
        </w:tc>
        <w:tc>
          <w:tcPr>
            <w:tcW w:w="1954" w:type="dxa"/>
            <w:vAlign w:val="center"/>
          </w:tcPr>
          <w:p w14:paraId="496DD52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b/>
                <w:bCs/>
                <w:color w:val="000000"/>
                <w:sz w:val="20"/>
                <w:szCs w:val="20"/>
              </w:rPr>
            </w:pPr>
            <w:r>
              <w:rPr>
                <w:b/>
                <w:bCs/>
                <w:color w:val="000000"/>
                <w:sz w:val="20"/>
                <w:szCs w:val="20"/>
              </w:rPr>
              <w:t>Preço Total Mês</w:t>
            </w:r>
          </w:p>
        </w:tc>
      </w:tr>
      <w:tr w14:paraId="06673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trPr>
        <w:tc>
          <w:tcPr>
            <w:tcW w:w="704" w:type="dxa"/>
            <w:vAlign w:val="center"/>
          </w:tcPr>
          <w:p w14:paraId="74DD124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1134" w:type="dxa"/>
            <w:vAlign w:val="center"/>
          </w:tcPr>
          <w:p w14:paraId="601295E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3402" w:type="dxa"/>
            <w:vAlign w:val="center"/>
          </w:tcPr>
          <w:p w14:paraId="440D27E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 </w:t>
            </w:r>
          </w:p>
        </w:tc>
        <w:tc>
          <w:tcPr>
            <w:tcW w:w="709" w:type="dxa"/>
            <w:vAlign w:val="center"/>
          </w:tcPr>
          <w:p w14:paraId="47C11EE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p>
        </w:tc>
        <w:tc>
          <w:tcPr>
            <w:tcW w:w="604" w:type="dxa"/>
            <w:vAlign w:val="center"/>
          </w:tcPr>
          <w:p w14:paraId="56CBC7D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p>
        </w:tc>
        <w:tc>
          <w:tcPr>
            <w:tcW w:w="1127" w:type="dxa"/>
            <w:vAlign w:val="center"/>
          </w:tcPr>
          <w:p w14:paraId="62BEF60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p>
        </w:tc>
        <w:tc>
          <w:tcPr>
            <w:tcW w:w="1954" w:type="dxa"/>
            <w:vAlign w:val="center"/>
          </w:tcPr>
          <w:p w14:paraId="52F1195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p>
        </w:tc>
      </w:tr>
      <w:tr w14:paraId="0B3E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0" w:hRule="atLeast"/>
        </w:trPr>
        <w:tc>
          <w:tcPr>
            <w:tcW w:w="704" w:type="dxa"/>
            <w:vAlign w:val="center"/>
          </w:tcPr>
          <w:p w14:paraId="41FC2A9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1</w:t>
            </w:r>
          </w:p>
        </w:tc>
        <w:tc>
          <w:tcPr>
            <w:tcW w:w="1134" w:type="dxa"/>
            <w:vAlign w:val="center"/>
          </w:tcPr>
          <w:p w14:paraId="01FA4D2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265939-5</w:t>
            </w:r>
          </w:p>
        </w:tc>
        <w:tc>
          <w:tcPr>
            <w:tcW w:w="3402" w:type="dxa"/>
            <w:vAlign w:val="center"/>
          </w:tcPr>
          <w:p w14:paraId="7A6DAAE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de avanço de sinal vermelho e parada sobre faixa de travessia de pedestres - não intrusivo,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tc>
        <w:tc>
          <w:tcPr>
            <w:tcW w:w="709" w:type="dxa"/>
            <w:vAlign w:val="center"/>
          </w:tcPr>
          <w:p w14:paraId="5C42376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7355943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92</w:t>
            </w:r>
          </w:p>
        </w:tc>
        <w:tc>
          <w:tcPr>
            <w:tcW w:w="1127" w:type="dxa"/>
            <w:vAlign w:val="center"/>
          </w:tcPr>
          <w:p w14:paraId="3524A5C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4.816,67</w:t>
            </w:r>
          </w:p>
        </w:tc>
        <w:tc>
          <w:tcPr>
            <w:tcW w:w="1954" w:type="dxa"/>
            <w:vAlign w:val="center"/>
          </w:tcPr>
          <w:p w14:paraId="59F79C9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443.133,33</w:t>
            </w:r>
          </w:p>
        </w:tc>
      </w:tr>
      <w:tr w14:paraId="49F662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704" w:type="dxa"/>
            <w:vAlign w:val="center"/>
          </w:tcPr>
          <w:p w14:paraId="7E9FBCE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w:t>
            </w:r>
          </w:p>
        </w:tc>
        <w:tc>
          <w:tcPr>
            <w:tcW w:w="1134" w:type="dxa"/>
            <w:vAlign w:val="center"/>
          </w:tcPr>
          <w:p w14:paraId="512026F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8864</w:t>
            </w:r>
          </w:p>
        </w:tc>
        <w:tc>
          <w:tcPr>
            <w:tcW w:w="3402" w:type="dxa"/>
            <w:vAlign w:val="center"/>
          </w:tcPr>
          <w:p w14:paraId="5984B603">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solução de fiscalização eletrônica de trânsito – radar de velocidade fixo com LAP - não intrusivo, através de prestação de serviços, incluso a instalação, operacionalização e a manutenção dos equipamentos, pelo prazo de 12 (doze) meses, conforme especificações técnicas.</w:t>
            </w:r>
          </w:p>
        </w:tc>
        <w:tc>
          <w:tcPr>
            <w:tcW w:w="709" w:type="dxa"/>
            <w:vAlign w:val="center"/>
          </w:tcPr>
          <w:p w14:paraId="534785D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79E5EFB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100</w:t>
            </w:r>
          </w:p>
        </w:tc>
        <w:tc>
          <w:tcPr>
            <w:tcW w:w="1127" w:type="dxa"/>
            <w:vAlign w:val="center"/>
          </w:tcPr>
          <w:p w14:paraId="0529B67E">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4.850,00</w:t>
            </w:r>
          </w:p>
        </w:tc>
        <w:tc>
          <w:tcPr>
            <w:tcW w:w="1954" w:type="dxa"/>
            <w:vAlign w:val="center"/>
          </w:tcPr>
          <w:p w14:paraId="2C4ABB0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485.000,00</w:t>
            </w:r>
          </w:p>
        </w:tc>
      </w:tr>
      <w:tr w14:paraId="1E10E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0" w:hRule="atLeast"/>
        </w:trPr>
        <w:tc>
          <w:tcPr>
            <w:tcW w:w="704" w:type="dxa"/>
            <w:vAlign w:val="center"/>
          </w:tcPr>
          <w:p w14:paraId="0C2C8EC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w:t>
            </w:r>
          </w:p>
        </w:tc>
        <w:tc>
          <w:tcPr>
            <w:tcW w:w="1134" w:type="dxa"/>
            <w:vAlign w:val="center"/>
          </w:tcPr>
          <w:p w14:paraId="246D50F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418773-3</w:t>
            </w:r>
          </w:p>
        </w:tc>
        <w:tc>
          <w:tcPr>
            <w:tcW w:w="3402" w:type="dxa"/>
            <w:vAlign w:val="center"/>
          </w:tcPr>
          <w:p w14:paraId="10C6E45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Fornecimento de sistema de controle e monitoramento de velocidade por meio de equipamento educativo não intrusivo, com comunicação de internet via cabeamento fibra óptica, equipado com câmera para leitura OCR, alimentado por energia elétrica convencional, a ser instalado em um ponto fixo, projetado sobre a via (coluna e braço projetado em aço galvanizado), conforme especificações técnicas.</w:t>
            </w:r>
          </w:p>
        </w:tc>
        <w:tc>
          <w:tcPr>
            <w:tcW w:w="709" w:type="dxa"/>
            <w:vAlign w:val="center"/>
          </w:tcPr>
          <w:p w14:paraId="3932158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5170998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w:t>
            </w:r>
          </w:p>
        </w:tc>
        <w:tc>
          <w:tcPr>
            <w:tcW w:w="1127" w:type="dxa"/>
            <w:vAlign w:val="center"/>
          </w:tcPr>
          <w:p w14:paraId="67BFE1A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4.893,33</w:t>
            </w:r>
          </w:p>
        </w:tc>
        <w:tc>
          <w:tcPr>
            <w:tcW w:w="1954" w:type="dxa"/>
            <w:vAlign w:val="center"/>
          </w:tcPr>
          <w:p w14:paraId="4740DAA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48.933,33</w:t>
            </w:r>
          </w:p>
        </w:tc>
      </w:tr>
      <w:tr w14:paraId="7AE23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704" w:type="dxa"/>
            <w:vAlign w:val="center"/>
          </w:tcPr>
          <w:p w14:paraId="0A48B8B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4</w:t>
            </w:r>
          </w:p>
        </w:tc>
        <w:tc>
          <w:tcPr>
            <w:tcW w:w="1134" w:type="dxa"/>
            <w:vAlign w:val="center"/>
          </w:tcPr>
          <w:p w14:paraId="22E3849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68030</w:t>
            </w:r>
          </w:p>
        </w:tc>
        <w:tc>
          <w:tcPr>
            <w:tcW w:w="3402" w:type="dxa"/>
            <w:vAlign w:val="center"/>
          </w:tcPr>
          <w:p w14:paraId="0D62B0E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tc>
        <w:tc>
          <w:tcPr>
            <w:tcW w:w="709" w:type="dxa"/>
            <w:vAlign w:val="center"/>
          </w:tcPr>
          <w:p w14:paraId="1E2A8204">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Faixa</w:t>
            </w:r>
          </w:p>
        </w:tc>
        <w:tc>
          <w:tcPr>
            <w:tcW w:w="604" w:type="dxa"/>
            <w:vAlign w:val="center"/>
          </w:tcPr>
          <w:p w14:paraId="5FCA87F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48</w:t>
            </w:r>
          </w:p>
        </w:tc>
        <w:tc>
          <w:tcPr>
            <w:tcW w:w="1127" w:type="dxa"/>
            <w:vAlign w:val="center"/>
          </w:tcPr>
          <w:p w14:paraId="77CF685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4.960,00</w:t>
            </w:r>
          </w:p>
        </w:tc>
        <w:tc>
          <w:tcPr>
            <w:tcW w:w="1954" w:type="dxa"/>
            <w:vAlign w:val="center"/>
          </w:tcPr>
          <w:p w14:paraId="6AE1FE3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238.080,00</w:t>
            </w:r>
          </w:p>
        </w:tc>
      </w:tr>
      <w:tr w14:paraId="70686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5284E01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5</w:t>
            </w:r>
          </w:p>
        </w:tc>
        <w:tc>
          <w:tcPr>
            <w:tcW w:w="8930" w:type="dxa"/>
            <w:gridSpan w:val="6"/>
            <w:vAlign w:val="center"/>
          </w:tcPr>
          <w:p w14:paraId="5D3FB750">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r>
              <w:rPr>
                <w:b/>
                <w:bCs/>
                <w:color w:val="000000"/>
                <w:sz w:val="20"/>
                <w:szCs w:val="20"/>
              </w:rPr>
              <w:t>Software para processamento as infrações e recursos de infrações, inclusive com apoio a JARI</w:t>
            </w:r>
          </w:p>
        </w:tc>
      </w:tr>
      <w:tr w14:paraId="1CE46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trPr>
        <w:tc>
          <w:tcPr>
            <w:tcW w:w="704" w:type="dxa"/>
            <w:vAlign w:val="center"/>
          </w:tcPr>
          <w:p w14:paraId="70FAA6F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5.1</w:t>
            </w:r>
          </w:p>
        </w:tc>
        <w:tc>
          <w:tcPr>
            <w:tcW w:w="1134" w:type="dxa"/>
            <w:vAlign w:val="center"/>
          </w:tcPr>
          <w:p w14:paraId="5AE492F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8796</w:t>
            </w:r>
          </w:p>
        </w:tc>
        <w:tc>
          <w:tcPr>
            <w:tcW w:w="3402" w:type="dxa"/>
            <w:vAlign w:val="center"/>
          </w:tcPr>
          <w:p w14:paraId="0DE71F5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Disponibilizar plataforma integrada de processamento de autos de infrações, físicos e eletrônicos; devendo permitir a integração de talonários eletrônicos de outras empresas; devendo permitir a consulta de infrações, recursos, e informações pertinentes ao cidadão via web; devendo permitir integração a plataformas de outras entidades, por exemplo: Detran ou SERPRO</w:t>
            </w:r>
          </w:p>
        </w:tc>
        <w:tc>
          <w:tcPr>
            <w:tcW w:w="709" w:type="dxa"/>
            <w:vAlign w:val="center"/>
          </w:tcPr>
          <w:p w14:paraId="76A93D7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55A8E72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4BB8E86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R$ 79.941,01</w:t>
            </w:r>
          </w:p>
        </w:tc>
        <w:tc>
          <w:tcPr>
            <w:tcW w:w="1954" w:type="dxa"/>
            <w:vAlign w:val="center"/>
          </w:tcPr>
          <w:p w14:paraId="0FB7E54D">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79.941,01</w:t>
            </w:r>
          </w:p>
        </w:tc>
      </w:tr>
      <w:tr w14:paraId="5694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01FB08A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b/>
                <w:bCs/>
                <w:color w:val="000000"/>
                <w:sz w:val="20"/>
                <w:szCs w:val="20"/>
              </w:rPr>
            </w:pPr>
            <w:r>
              <w:rPr>
                <w:b/>
                <w:bCs/>
                <w:color w:val="000000"/>
                <w:sz w:val="20"/>
                <w:szCs w:val="20"/>
              </w:rPr>
              <w:t>6</w:t>
            </w:r>
          </w:p>
        </w:tc>
        <w:tc>
          <w:tcPr>
            <w:tcW w:w="8930" w:type="dxa"/>
            <w:gridSpan w:val="6"/>
            <w:vAlign w:val="center"/>
          </w:tcPr>
          <w:p w14:paraId="66012FD3">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b/>
                <w:bCs/>
                <w:color w:val="000000"/>
                <w:sz w:val="20"/>
                <w:szCs w:val="20"/>
              </w:rPr>
            </w:pPr>
            <w:r>
              <w:rPr>
                <w:b/>
                <w:bCs/>
                <w:color w:val="000000"/>
                <w:sz w:val="20"/>
                <w:szCs w:val="20"/>
              </w:rPr>
              <w:t>Sistemas</w:t>
            </w:r>
          </w:p>
        </w:tc>
      </w:tr>
      <w:tr w14:paraId="50E90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04" w:type="dxa"/>
            <w:vAlign w:val="center"/>
          </w:tcPr>
          <w:p w14:paraId="6A35A0C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6.1</w:t>
            </w:r>
          </w:p>
        </w:tc>
        <w:tc>
          <w:tcPr>
            <w:tcW w:w="1134" w:type="dxa"/>
            <w:vAlign w:val="center"/>
          </w:tcPr>
          <w:p w14:paraId="2665C81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242343-0</w:t>
            </w:r>
          </w:p>
        </w:tc>
        <w:tc>
          <w:tcPr>
            <w:tcW w:w="3402" w:type="dxa"/>
            <w:vAlign w:val="center"/>
          </w:tcPr>
          <w:p w14:paraId="29B9CD0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 Anti Jammer</w:t>
            </w:r>
          </w:p>
        </w:tc>
        <w:tc>
          <w:tcPr>
            <w:tcW w:w="709" w:type="dxa"/>
            <w:vAlign w:val="center"/>
          </w:tcPr>
          <w:p w14:paraId="57FA977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4391DD51">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102</w:t>
            </w:r>
          </w:p>
        </w:tc>
        <w:tc>
          <w:tcPr>
            <w:tcW w:w="1127" w:type="dxa"/>
            <w:vAlign w:val="center"/>
          </w:tcPr>
          <w:p w14:paraId="4DE4368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520,00</w:t>
            </w:r>
          </w:p>
        </w:tc>
        <w:tc>
          <w:tcPr>
            <w:tcW w:w="1954" w:type="dxa"/>
            <w:vAlign w:val="center"/>
          </w:tcPr>
          <w:p w14:paraId="470CCB8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53.040,00</w:t>
            </w:r>
          </w:p>
        </w:tc>
      </w:tr>
      <w:tr w14:paraId="06C47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704" w:type="dxa"/>
            <w:vAlign w:val="center"/>
          </w:tcPr>
          <w:p w14:paraId="17F9F05A">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6.2</w:t>
            </w:r>
          </w:p>
        </w:tc>
        <w:tc>
          <w:tcPr>
            <w:tcW w:w="1134" w:type="dxa"/>
            <w:vAlign w:val="center"/>
          </w:tcPr>
          <w:p w14:paraId="6A865CB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399850-9</w:t>
            </w:r>
          </w:p>
        </w:tc>
        <w:tc>
          <w:tcPr>
            <w:tcW w:w="3402" w:type="dxa"/>
            <w:vAlign w:val="center"/>
          </w:tcPr>
          <w:p w14:paraId="3FA00F9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Fluxo Veicular e Estatística On-Line</w:t>
            </w:r>
          </w:p>
        </w:tc>
        <w:tc>
          <w:tcPr>
            <w:tcW w:w="709" w:type="dxa"/>
            <w:vAlign w:val="center"/>
          </w:tcPr>
          <w:p w14:paraId="7A83847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227D132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3353D3CC">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9.800,00</w:t>
            </w:r>
          </w:p>
        </w:tc>
        <w:tc>
          <w:tcPr>
            <w:tcW w:w="1954" w:type="dxa"/>
            <w:vAlign w:val="center"/>
          </w:tcPr>
          <w:p w14:paraId="31F107C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9.800,00</w:t>
            </w:r>
          </w:p>
        </w:tc>
      </w:tr>
      <w:tr w14:paraId="78C76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51E5EB9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6.3</w:t>
            </w:r>
          </w:p>
        </w:tc>
        <w:tc>
          <w:tcPr>
            <w:tcW w:w="1134" w:type="dxa"/>
            <w:vAlign w:val="center"/>
          </w:tcPr>
          <w:p w14:paraId="7C8BD532">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24224</w:t>
            </w:r>
          </w:p>
        </w:tc>
        <w:tc>
          <w:tcPr>
            <w:tcW w:w="3402" w:type="dxa"/>
            <w:vAlign w:val="center"/>
          </w:tcPr>
          <w:p w14:paraId="1B7EDB1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de inteligência Analítica - BI</w:t>
            </w:r>
          </w:p>
        </w:tc>
        <w:tc>
          <w:tcPr>
            <w:tcW w:w="709" w:type="dxa"/>
            <w:vAlign w:val="center"/>
          </w:tcPr>
          <w:p w14:paraId="6CA81257">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06D47FA8">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213200D0">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5.091,71</w:t>
            </w:r>
          </w:p>
        </w:tc>
        <w:tc>
          <w:tcPr>
            <w:tcW w:w="1954" w:type="dxa"/>
            <w:vAlign w:val="center"/>
          </w:tcPr>
          <w:p w14:paraId="1655E88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5.091,71</w:t>
            </w:r>
          </w:p>
        </w:tc>
      </w:tr>
      <w:tr w14:paraId="424F3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704" w:type="dxa"/>
            <w:vAlign w:val="center"/>
          </w:tcPr>
          <w:p w14:paraId="2CAE3D7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6.4</w:t>
            </w:r>
          </w:p>
        </w:tc>
        <w:tc>
          <w:tcPr>
            <w:tcW w:w="1134" w:type="dxa"/>
            <w:vAlign w:val="center"/>
          </w:tcPr>
          <w:p w14:paraId="337964C9">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27513</w:t>
            </w:r>
          </w:p>
        </w:tc>
        <w:tc>
          <w:tcPr>
            <w:tcW w:w="3402" w:type="dxa"/>
            <w:vAlign w:val="center"/>
          </w:tcPr>
          <w:p w14:paraId="531C4956">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both"/>
              <w:rPr>
                <w:color w:val="000000"/>
                <w:sz w:val="20"/>
                <w:szCs w:val="20"/>
              </w:rPr>
            </w:pPr>
            <w:r>
              <w:rPr>
                <w:color w:val="000000"/>
                <w:sz w:val="20"/>
                <w:szCs w:val="20"/>
              </w:rPr>
              <w:t>Sistema Integrador para Gerenciamento de Imagens e Processamento das Informações Geradas</w:t>
            </w:r>
          </w:p>
        </w:tc>
        <w:tc>
          <w:tcPr>
            <w:tcW w:w="709" w:type="dxa"/>
            <w:vAlign w:val="center"/>
          </w:tcPr>
          <w:p w14:paraId="7F364BAB">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Mês</w:t>
            </w:r>
          </w:p>
        </w:tc>
        <w:tc>
          <w:tcPr>
            <w:tcW w:w="604" w:type="dxa"/>
            <w:vAlign w:val="center"/>
          </w:tcPr>
          <w:p w14:paraId="6101E0BF">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12</w:t>
            </w:r>
          </w:p>
        </w:tc>
        <w:tc>
          <w:tcPr>
            <w:tcW w:w="1127" w:type="dxa"/>
            <w:vAlign w:val="center"/>
          </w:tcPr>
          <w:p w14:paraId="2017E285">
            <w:pPr>
              <w:pBdr>
                <w:top w:val="none" w:color="auto" w:sz="0" w:space="0"/>
                <w:left w:val="none" w:color="auto" w:sz="0" w:space="0"/>
                <w:bottom w:val="none" w:color="auto" w:sz="0" w:space="0"/>
                <w:right w:val="none" w:color="auto" w:sz="0" w:space="0"/>
                <w:between w:val="none" w:color="auto" w:sz="0" w:space="0"/>
              </w:pBdr>
              <w:spacing w:line="230" w:lineRule="auto"/>
              <w:ind w:right="2" w:firstLine="2"/>
              <w:jc w:val="center"/>
              <w:rPr>
                <w:color w:val="000000"/>
                <w:sz w:val="20"/>
                <w:szCs w:val="20"/>
              </w:rPr>
            </w:pPr>
            <w:r>
              <w:rPr>
                <w:color w:val="000000"/>
                <w:sz w:val="20"/>
                <w:szCs w:val="20"/>
              </w:rPr>
              <w:t>R$        43.000,00</w:t>
            </w:r>
          </w:p>
        </w:tc>
        <w:tc>
          <w:tcPr>
            <w:tcW w:w="1954" w:type="dxa"/>
            <w:vAlign w:val="center"/>
          </w:tcPr>
          <w:p w14:paraId="4F59C7B5">
            <w:pPr>
              <w:pBdr>
                <w:top w:val="none" w:color="auto" w:sz="0" w:space="0"/>
                <w:left w:val="none" w:color="auto" w:sz="0" w:space="0"/>
                <w:bottom w:val="none" w:color="auto" w:sz="0" w:space="0"/>
                <w:right w:val="none" w:color="auto" w:sz="0" w:space="0"/>
                <w:between w:val="none" w:color="auto" w:sz="0" w:space="0"/>
              </w:pBdr>
              <w:spacing w:line="230" w:lineRule="auto"/>
              <w:ind w:right="2" w:firstLine="2"/>
              <w:rPr>
                <w:color w:val="000000"/>
                <w:sz w:val="20"/>
                <w:szCs w:val="20"/>
              </w:rPr>
            </w:pPr>
            <w:r>
              <w:rPr>
                <w:color w:val="000000"/>
                <w:sz w:val="20"/>
                <w:szCs w:val="20"/>
              </w:rPr>
              <w:t>R$        43.000,00</w:t>
            </w:r>
          </w:p>
        </w:tc>
      </w:tr>
    </w:tbl>
    <w:p w14:paraId="59A131BB">
      <w:pPr>
        <w:pStyle w:val="72"/>
        <w:numPr>
          <w:ilvl w:val="1"/>
          <w:numId w:val="6"/>
        </w:numPr>
        <w:suppressAutoHyphens/>
        <w:spacing w:before="240" w:after="240" w:line="360" w:lineRule="auto"/>
        <w:ind w:left="0" w:firstLine="0"/>
        <w:contextualSpacing w:val="0"/>
        <w:jc w:val="both"/>
      </w:pPr>
      <w:r>
        <w:t>Declara-se que o objeto desta contratação não se enquadra como bem de luxo, em conformidade com o Decreto Federal nº 10.818, de 27 de setembro de 2021.</w:t>
      </w:r>
    </w:p>
    <w:p w14:paraId="17FDCBF2">
      <w:pPr>
        <w:pStyle w:val="72"/>
        <w:numPr>
          <w:ilvl w:val="1"/>
          <w:numId w:val="6"/>
        </w:numPr>
        <w:suppressAutoHyphens/>
        <w:spacing w:before="240" w:after="240" w:line="360" w:lineRule="auto"/>
        <w:ind w:left="0" w:firstLine="0"/>
        <w:contextualSpacing w:val="0"/>
        <w:jc w:val="both"/>
      </w:pPr>
      <w:r>
        <w:t xml:space="preserve">O prazo de vigência da contratação será de </w:t>
      </w:r>
      <w:r>
        <w:rPr>
          <w:b/>
          <w:bCs/>
        </w:rPr>
        <w:t>12 (doze) meses</w:t>
      </w:r>
      <w:r>
        <w:t xml:space="preserve">, contados da data da assinatura do contrato, podendo ser prorrogado por iguais e sucessivos períodos, até o limite máximo de </w:t>
      </w:r>
      <w:r>
        <w:rPr>
          <w:b/>
          <w:bCs/>
        </w:rPr>
        <w:t>60 (sessenta) meses</w:t>
      </w:r>
      <w:r>
        <w:t>, conforme previsto no Art. 107 da Lei nº 14.133, de 2021, mediante justificativa formal e aprovação da Administração.</w:t>
      </w:r>
    </w:p>
    <w:p w14:paraId="7E85C3CC">
      <w:pPr>
        <w:pStyle w:val="72"/>
        <w:numPr>
          <w:ilvl w:val="1"/>
          <w:numId w:val="6"/>
        </w:numPr>
        <w:suppressAutoHyphens/>
        <w:spacing w:before="240" w:after="240" w:line="360" w:lineRule="auto"/>
        <w:ind w:left="0" w:firstLine="0"/>
        <w:contextualSpacing w:val="0"/>
        <w:jc w:val="both"/>
      </w:pPr>
      <w:r>
        <w:t>A natureza continuada dos serviços de fiscalização eletrônica, essenciais para a segurança viária e a gestão do trânsito em Rondonópolis-MT, justifica a vigência plurianual. Tais serviços são necessários de forma permanente e contínua, e sua eventual interrupção poderia comprometer a segurança da população e a eficiência da gestão do trânsito.</w:t>
      </w:r>
    </w:p>
    <w:p w14:paraId="6CB574D9">
      <w:pPr>
        <w:pStyle w:val="72"/>
        <w:numPr>
          <w:ilvl w:val="1"/>
          <w:numId w:val="6"/>
        </w:numPr>
        <w:suppressAutoHyphens/>
        <w:spacing w:before="240" w:after="240" w:line="360" w:lineRule="auto"/>
        <w:ind w:left="0" w:firstLine="0"/>
        <w:contextualSpacing w:val="0"/>
        <w:jc w:val="both"/>
      </w:pPr>
      <w:r>
        <w:t>Para a fase inicial da contratação, sob o Sistema de Registro de Preços, a quantidade mínima de pontos de fiscalização (considerando radares ou lombadas eletrônicas) a serem instalados e operados será de 20 (vinte). Essa quantidade visa garantir a implementação eficaz de um sistema inicial nos pontos mais críticos do município, conforme estudo técnico prévio, permitindo o início imediato da operação, mesmo em caso de implantação gradual. Tal quantidade poderá ser ajustada conforme a evolução da demanda e do sistema.</w:t>
      </w:r>
    </w:p>
    <w:p w14:paraId="08509FE6">
      <w:pPr>
        <w:pStyle w:val="72"/>
        <w:numPr>
          <w:ilvl w:val="0"/>
          <w:numId w:val="6"/>
        </w:numPr>
        <w:suppressAutoHyphens/>
        <w:spacing w:before="240" w:after="240" w:line="360" w:lineRule="auto"/>
        <w:contextualSpacing w:val="0"/>
        <w:jc w:val="both"/>
        <w:outlineLvl w:val="1"/>
        <w:rPr>
          <w:b/>
          <w:bCs/>
          <w:color w:val="000000" w:themeColor="text1"/>
          <w:sz w:val="24"/>
          <w:szCs w:val="24"/>
          <w14:textFill>
            <w14:solidFill>
              <w14:schemeClr w14:val="tx1"/>
            </w14:solidFill>
          </w14:textFill>
        </w:rPr>
      </w:pPr>
      <w:r>
        <w:rPr>
          <w:b/>
          <w:bCs/>
          <w:color w:val="000000" w:themeColor="text1"/>
          <w:sz w:val="24"/>
          <w:szCs w:val="24"/>
          <w14:textFill>
            <w14:solidFill>
              <w14:schemeClr w14:val="tx1"/>
            </w14:solidFill>
          </w14:textFill>
        </w:rPr>
        <w:t>DA JUSTIFICATIVA</w:t>
      </w:r>
    </w:p>
    <w:p w14:paraId="1812DFCC">
      <w:pPr>
        <w:pStyle w:val="72"/>
        <w:numPr>
          <w:ilvl w:val="1"/>
          <w:numId w:val="6"/>
        </w:numPr>
        <w:suppressAutoHyphens/>
        <w:spacing w:before="240" w:after="240" w:line="360" w:lineRule="auto"/>
        <w:ind w:left="0" w:firstLine="0"/>
        <w:contextualSpacing w:val="0"/>
        <w:jc w:val="both"/>
      </w:pPr>
      <w:r>
        <w:t>De acordo com o Capítulo I, Art. 1º, § 2º do Código de Trânsito Brasileiro (CTB), "</w:t>
      </w:r>
      <w:r>
        <w:rPr>
          <w:i/>
          <w:iCs/>
        </w:rPr>
        <w:t>o trânsito, em condições seguras, é um direito de todos e dever dos órgãos e entidades componentes do Sistema Nacional de Trânsito [...]",</w:t>
      </w:r>
      <w:r>
        <w:t xml:space="preserve"> cabendo, portanto, à Secretaria Municipal de Mobilidade Urbana – SEMOB adotar as medidas necessárias para assegurar esses direitos. A Lei Federal nº 9.503/1997 estabelece as competências dos órgãos e entidades executivos de trânsito dos municípios em sua circunscrição, dentre as quais se destaca a execução da fiscalização de trânsito em vias terrestres, com a aplicação das medidas administrativas cabíveis.</w:t>
      </w:r>
    </w:p>
    <w:p w14:paraId="27205327">
      <w:pPr>
        <w:pStyle w:val="72"/>
        <w:numPr>
          <w:ilvl w:val="1"/>
          <w:numId w:val="6"/>
        </w:numPr>
        <w:suppressAutoHyphens/>
        <w:spacing w:before="240" w:after="240" w:line="360" w:lineRule="auto"/>
        <w:ind w:left="0" w:firstLine="0"/>
        <w:contextualSpacing w:val="0"/>
        <w:jc w:val="both"/>
      </w:pPr>
      <w:r>
        <w:t>Em 2018, foi instituído pela Lei Federal nº 13.614 o Plano Nacional de Redução de Mortes e Lesões no Trânsito (PNATRANS), que acrescentou o Art. 326-A ao CTB, impondo um novo desafio à gestão de trânsito no Brasil e aos órgãos integrantes do Sistema Nacional de Trânsito. Conforme o referido dispositivo legal, em seu Art. 5º, § 1º, estabelece-se que:</w:t>
      </w:r>
    </w:p>
    <w:p w14:paraId="1E22C1EE">
      <w:pPr>
        <w:pStyle w:val="72"/>
        <w:spacing w:before="240" w:after="240" w:line="360" w:lineRule="auto"/>
        <w:ind w:left="2268"/>
        <w:contextualSpacing w:val="0"/>
        <w:rPr>
          <w:i/>
          <w:iCs/>
        </w:rPr>
      </w:pPr>
      <w:r>
        <w:rPr>
          <w:i/>
          <w:iCs/>
        </w:rPr>
        <w:t>O objetivo geral do estabelecimento de metas é, ao final do prazo de dez anos, reduzir à metade, no mínimo, o índice nacional de mortos por grupo de veículos e o índice nacional de mortos por grupo de habitantes, relativamente aos índices apurados no ano da entrada em vigor da lei que cria o Plano Nacional de Redução de Mortes e Lesões no Trânsito (PNATRANS).</w:t>
      </w:r>
    </w:p>
    <w:p w14:paraId="36769B3B">
      <w:pPr>
        <w:pStyle w:val="72"/>
        <w:numPr>
          <w:ilvl w:val="1"/>
          <w:numId w:val="6"/>
        </w:numPr>
        <w:suppressAutoHyphens/>
        <w:spacing w:before="240" w:after="240" w:line="360" w:lineRule="auto"/>
        <w:ind w:left="0" w:firstLine="0"/>
        <w:contextualSpacing w:val="0"/>
        <w:jc w:val="both"/>
      </w:pPr>
      <w:r>
        <w:t>As ações previstas no plano são fundamentadas em objetivos estratégicos, entre os quais se destaca a promoção da inovação na operação e fiscalização de trânsito, visando estimular a incorporação de novas tecnologias que possibilitem maior eficiência e precisão nas rotinas de prevenção aos comportamentos de risco, por meio do uso de equipamentos e tecnologias adequados.</w:t>
      </w:r>
    </w:p>
    <w:p w14:paraId="7F2E031E">
      <w:pPr>
        <w:pStyle w:val="72"/>
        <w:numPr>
          <w:ilvl w:val="1"/>
          <w:numId w:val="6"/>
        </w:numPr>
        <w:suppressAutoHyphens/>
        <w:spacing w:before="240" w:after="240" w:line="360" w:lineRule="auto"/>
        <w:ind w:left="0" w:firstLine="0"/>
        <w:contextualSpacing w:val="0"/>
        <w:jc w:val="both"/>
      </w:pPr>
      <w:r>
        <w:t>Este órgão executivo de trânsito reconhece o crescimento gradativo da frota veicular que circula pela malha viária do município de Rondonópolis-MT, bem como a circulação de veículos provenientes de outras regiões próximas (veículos flutuantes). O objetivo é reduzir os índices estatísticos de sinistros decorrentes do avanço de sinal vermelho e da parada sobre a faixa destinada à travessia de pedestres, infrações que colocam em risco a vida dos usuários do sistema de transporte urbano, especialmente os pedestres, que são os usuários mais vulneráveis. Ressalta-se, ainda, o desequilíbrio entre o efetivo de agentes de trânsito em atuação no município e o crescimento e expansão do uso e ocupação do solo, que geram maior fluxo de usuários e aumentam as demandas sobre a fiscalização.</w:t>
      </w:r>
    </w:p>
    <w:p w14:paraId="233A8A30">
      <w:pPr>
        <w:pStyle w:val="72"/>
        <w:numPr>
          <w:ilvl w:val="1"/>
          <w:numId w:val="6"/>
        </w:numPr>
        <w:suppressAutoHyphens/>
        <w:spacing w:before="240" w:after="240" w:line="360" w:lineRule="auto"/>
        <w:ind w:left="0" w:firstLine="0"/>
        <w:contextualSpacing w:val="0"/>
        <w:jc w:val="both"/>
      </w:pPr>
      <w:r>
        <w:t>Dessa forma, a Secretaria Municipal de Mobilidade Urbana – SEMOB, visando garantir a equidade no espaço público urbano, propõe a adoção de soluções tecnológicas que contribuam para a segurança e a fluidez do tráfego urbano, mediante a operacionalização e gestão da fiscalização eletrônica de trânsito para infrações de avanço de sinal vermelho e parada sobre a faixa de travessia de pedestres.</w:t>
      </w:r>
    </w:p>
    <w:p w14:paraId="17D429AF">
      <w:pPr>
        <w:pStyle w:val="72"/>
        <w:numPr>
          <w:ilvl w:val="0"/>
          <w:numId w:val="6"/>
        </w:numPr>
        <w:suppressAutoHyphens/>
        <w:spacing w:before="240" w:after="240" w:line="360" w:lineRule="auto"/>
        <w:contextualSpacing w:val="0"/>
        <w:jc w:val="both"/>
        <w:outlineLvl w:val="1"/>
        <w:rPr>
          <w:b/>
          <w:bCs/>
          <w:color w:val="000000" w:themeColor="text1"/>
          <w:sz w:val="24"/>
          <w:szCs w:val="24"/>
          <w14:textFill>
            <w14:solidFill>
              <w14:schemeClr w14:val="tx1"/>
            </w14:solidFill>
          </w14:textFill>
        </w:rPr>
      </w:pPr>
      <w:r>
        <w:rPr>
          <w:b/>
          <w:bCs/>
          <w:color w:val="000000" w:themeColor="text1"/>
          <w:sz w:val="24"/>
          <w:szCs w:val="24"/>
          <w14:textFill>
            <w14:solidFill>
              <w14:schemeClr w14:val="tx1"/>
            </w14:solidFill>
          </w14:textFill>
        </w:rPr>
        <w:t xml:space="preserve">DA MODALIDADE E REGIME DE CONTRATAÇÃO </w:t>
      </w:r>
    </w:p>
    <w:p w14:paraId="414FD4AC">
      <w:pPr>
        <w:pStyle w:val="72"/>
        <w:numPr>
          <w:ilvl w:val="1"/>
          <w:numId w:val="6"/>
        </w:numPr>
        <w:suppressAutoHyphens/>
        <w:spacing w:before="240" w:after="240" w:line="360" w:lineRule="auto"/>
        <w:ind w:left="0" w:firstLine="0"/>
        <w:contextualSpacing w:val="0"/>
        <w:jc w:val="both"/>
      </w:pPr>
      <w:r>
        <w:t>A adoção da modalidade Pregão Eletrônico está em plena conformidade com o Art. 6º, incisos I e XLI, e o Art. 29 da Lei nº 14.133/2021. Os serviços de fiscalização eletrônica de trânsito possuem padrões de desempenho e qualidade que podem ser objetivamente definidos por meio de especificações técnicas detalhadas neste Termo de Referência. O pregão eletrônico é modalidade preferencial para aquisição de bens e serviços comuns, nos termos do §1º do Art. 6º da Lei nº 14.133/2021.</w:t>
      </w:r>
    </w:p>
    <w:p w14:paraId="2E9EA9DF">
      <w:pPr>
        <w:pStyle w:val="72"/>
        <w:numPr>
          <w:ilvl w:val="2"/>
          <w:numId w:val="7"/>
        </w:numPr>
        <w:suppressAutoHyphens/>
        <w:spacing w:before="240" w:after="240" w:line="360" w:lineRule="auto"/>
        <w:ind w:left="0" w:firstLine="0"/>
        <w:contextualSpacing w:val="0"/>
        <w:jc w:val="both"/>
      </w:pPr>
      <w:r>
        <w:t>A escolha do Pregão Eletrônico, preferencialmente na forma eletrônica conforme o Art. 17, § 2º, da Lei nº 14.133/2021, visa garantir eficiência, competitividade, transparência e celeridade no processo licitatório. Essa modalidade permite maior abrangência de potenciais licitantes, pois não exige deslocamento físico, ampliando a concorrência e a possibilidade de seleção da proposta mais vantajosa para a Administração Pública. Adicionalmente, contribui para a redução do tempo de contratação, desburocratização e maior controle gerencial das despesas.</w:t>
      </w:r>
    </w:p>
    <w:p w14:paraId="17E78C42">
      <w:pPr>
        <w:pStyle w:val="72"/>
        <w:numPr>
          <w:ilvl w:val="1"/>
          <w:numId w:val="6"/>
        </w:numPr>
        <w:suppressAutoHyphens/>
        <w:spacing w:before="240" w:after="240" w:line="360" w:lineRule="auto"/>
        <w:ind w:left="0" w:firstLine="0"/>
        <w:contextualSpacing w:val="0"/>
        <w:jc w:val="both"/>
      </w:pPr>
      <w:r>
        <w:t>Justificativa para a adoção do Sistema de Registro de Preços (SRP): A utilização do SRP para a contratação dos serviços de fiscalização eletrônica em Rondonópolis-MT está amparada no Art. 294 do Decreto Municipal nº 11.685/2023, que estabelece a utilização preferencial do SRP nas seguintes situações:</w:t>
      </w:r>
    </w:p>
    <w:p w14:paraId="28FC74F4">
      <w:pPr>
        <w:pStyle w:val="72"/>
        <w:numPr>
          <w:ilvl w:val="0"/>
          <w:numId w:val="8"/>
        </w:numPr>
        <w:spacing w:before="240" w:after="240" w:line="360" w:lineRule="auto"/>
        <w:ind w:left="714" w:hanging="357"/>
        <w:contextualSpacing w:val="0"/>
        <w:jc w:val="both"/>
      </w:pPr>
      <w:r>
        <w:t>Quando, pelas características do objeto, houver necessidade de contratações permanentes ou frequentes;</w:t>
      </w:r>
    </w:p>
    <w:p w14:paraId="781F7839">
      <w:pPr>
        <w:pStyle w:val="72"/>
        <w:numPr>
          <w:ilvl w:val="0"/>
          <w:numId w:val="8"/>
        </w:numPr>
        <w:spacing w:before="240" w:after="240" w:line="360" w:lineRule="auto"/>
        <w:ind w:left="714" w:hanging="357"/>
        <w:contextualSpacing w:val="0"/>
        <w:jc w:val="both"/>
      </w:pPr>
      <w:r>
        <w:t>Quando for conveniente a contratação de serviços remunerados por unidade de medida;</w:t>
      </w:r>
    </w:p>
    <w:p w14:paraId="6A541CC3">
      <w:pPr>
        <w:pStyle w:val="72"/>
        <w:numPr>
          <w:ilvl w:val="0"/>
          <w:numId w:val="8"/>
        </w:numPr>
        <w:spacing w:before="240" w:after="240" w:line="360" w:lineRule="auto"/>
        <w:ind w:left="714" w:hanging="357"/>
        <w:contextualSpacing w:val="0"/>
        <w:jc w:val="both"/>
      </w:pPr>
      <w:r>
        <w:t>Quando, pela natureza do objeto, não for possível definir previamente o quantitativo total a ser demandado pela Administração.</w:t>
      </w:r>
    </w:p>
    <w:p w14:paraId="37E060FF">
      <w:pPr>
        <w:pStyle w:val="72"/>
        <w:numPr>
          <w:ilvl w:val="2"/>
          <w:numId w:val="9"/>
        </w:numPr>
        <w:suppressAutoHyphens/>
        <w:spacing w:before="240" w:after="240" w:line="360" w:lineRule="auto"/>
        <w:ind w:left="0" w:firstLine="0"/>
        <w:contextualSpacing w:val="0"/>
        <w:jc w:val="both"/>
      </w:pPr>
      <w:r>
        <w:t>O SRP também possibilita a obtenção de economia de escala, maior controle contratual e padronização das condições de fornecimento.</w:t>
      </w:r>
    </w:p>
    <w:p w14:paraId="35F5EFA7">
      <w:pPr>
        <w:pStyle w:val="72"/>
        <w:numPr>
          <w:ilvl w:val="1"/>
          <w:numId w:val="9"/>
        </w:numPr>
        <w:suppressAutoHyphens/>
        <w:spacing w:before="240" w:after="240" w:line="360" w:lineRule="auto"/>
        <w:ind w:left="0" w:firstLine="0"/>
        <w:contextualSpacing w:val="0"/>
        <w:jc w:val="both"/>
      </w:pPr>
      <w:r>
        <w:t>No presente caso, a utilização do SRP se justifica pelas seguintes razões fáticas:</w:t>
      </w:r>
    </w:p>
    <w:p w14:paraId="36F7AB6A">
      <w:pPr>
        <w:pStyle w:val="72"/>
        <w:numPr>
          <w:ilvl w:val="0"/>
          <w:numId w:val="8"/>
        </w:numPr>
        <w:spacing w:before="240" w:after="240" w:line="360" w:lineRule="auto"/>
        <w:ind w:left="714" w:hanging="357"/>
        <w:contextualSpacing w:val="0"/>
        <w:jc w:val="both"/>
      </w:pPr>
      <w:r>
        <w:t>A fiscalização eletrônica é um serviço de natureza continuada, demandando operação permanente e frequente para a segurança viária;</w:t>
      </w:r>
    </w:p>
    <w:p w14:paraId="5677E1DD">
      <w:pPr>
        <w:pStyle w:val="72"/>
        <w:numPr>
          <w:ilvl w:val="0"/>
          <w:numId w:val="8"/>
        </w:numPr>
        <w:spacing w:before="240" w:after="240" w:line="360" w:lineRule="auto"/>
        <w:ind w:left="714" w:hanging="357"/>
        <w:contextualSpacing w:val="0"/>
        <w:jc w:val="both"/>
      </w:pPr>
      <w:r>
        <w:t>A demanda por pontos de fiscalização pode variar ao longo do tempo, em função de estudos de segurança viária, comportamento do tráfego e disponibilidade orçamentária, tornando inviável definir previamente o quantitativo exato de serviços a serem contratados no início da vigência;</w:t>
      </w:r>
    </w:p>
    <w:p w14:paraId="5020CBC0">
      <w:pPr>
        <w:pStyle w:val="72"/>
        <w:numPr>
          <w:ilvl w:val="0"/>
          <w:numId w:val="8"/>
        </w:numPr>
        <w:spacing w:before="240" w:after="240" w:line="360" w:lineRule="auto"/>
        <w:ind w:left="714" w:hanging="357"/>
        <w:contextualSpacing w:val="0"/>
        <w:jc w:val="both"/>
      </w:pPr>
      <w:r>
        <w:t>O SRP permite a contratação gradual e flexível dos serviços e equipamentos, conforme a real necessidade e a priorização da Administração Municipal, otimizando o uso dos recursos públicos e evitando contratações desnecessárias.</w:t>
      </w:r>
    </w:p>
    <w:p w14:paraId="1535773E">
      <w:pPr>
        <w:pStyle w:val="3"/>
        <w:numPr>
          <w:ilvl w:val="0"/>
          <w:numId w:val="6"/>
        </w:numPr>
        <w:rPr>
          <w:rFonts w:ascii="Arial" w:hAnsi="Arial" w:cs="Arial"/>
          <w:b/>
          <w:bCs/>
          <w:color w:val="000000" w:themeColor="text1"/>
          <w:sz w:val="24"/>
          <w:szCs w:val="24"/>
          <w14:textFill>
            <w14:solidFill>
              <w14:schemeClr w14:val="tx1"/>
            </w14:solidFill>
          </w14:textFill>
        </w:rPr>
      </w:pPr>
      <w:r>
        <w:rPr>
          <w:rFonts w:ascii="Arial" w:hAnsi="Arial" w:cs="Arial"/>
          <w:b/>
          <w:bCs/>
          <w:color w:val="000000" w:themeColor="text1"/>
          <w:sz w:val="24"/>
          <w:szCs w:val="24"/>
          <w14:textFill>
            <w14:solidFill>
              <w14:schemeClr w14:val="tx1"/>
            </w14:solidFill>
          </w14:textFill>
        </w:rPr>
        <w:t xml:space="preserve">DO OBJETIVO </w:t>
      </w:r>
    </w:p>
    <w:p w14:paraId="3F2C4DFB">
      <w:pPr>
        <w:pStyle w:val="72"/>
        <w:numPr>
          <w:ilvl w:val="1"/>
          <w:numId w:val="10"/>
        </w:numPr>
        <w:suppressAutoHyphens/>
        <w:spacing w:before="240" w:after="240" w:line="360" w:lineRule="auto"/>
        <w:ind w:left="0" w:firstLine="0"/>
        <w:jc w:val="both"/>
      </w:pPr>
      <w:r>
        <w:t xml:space="preserve">O objetivo central desta contratação é </w:t>
      </w:r>
      <w:r>
        <w:rPr>
          <w:bCs/>
        </w:rPr>
        <w:t>modernizar e aprimorar o sistema de fiscalização de trânsito em Rondonópolis-MT</w:t>
      </w:r>
      <w:r>
        <w:t xml:space="preserve">. Isso será feito através da implantação de soluções tecnológicas avançadas que permitam o monitoramento eficiente e a autuação de infrações, como avanço de sinal vermelho, parada sobre faixa de pedestres e excesso de velocidade. A finalidade é clara: </w:t>
      </w:r>
      <w:r>
        <w:rPr>
          <w:bCs/>
        </w:rPr>
        <w:t>reduzir o número de acidentes e óbitos, melhorar a segurança viária e promover um trânsito mais organizado e fluido para todos os cidadãos</w:t>
      </w:r>
      <w:r>
        <w:t>.</w:t>
      </w:r>
    </w:p>
    <w:p w14:paraId="21B86276">
      <w:pPr>
        <w:pStyle w:val="72"/>
        <w:spacing w:before="240" w:after="240" w:line="360" w:lineRule="auto"/>
        <w:ind w:left="0"/>
      </w:pPr>
    </w:p>
    <w:p w14:paraId="39A61F43">
      <w:pPr>
        <w:pStyle w:val="72"/>
        <w:numPr>
          <w:ilvl w:val="0"/>
          <w:numId w:val="6"/>
        </w:numPr>
        <w:spacing w:before="240" w:after="240" w:line="259" w:lineRule="auto"/>
        <w:ind w:left="0" w:firstLine="0"/>
        <w:contextualSpacing w:val="0"/>
        <w:jc w:val="both"/>
        <w:outlineLvl w:val="1"/>
        <w:rPr>
          <w:b/>
          <w:bCs/>
          <w:color w:val="000000" w:themeColor="text1"/>
          <w:sz w:val="24"/>
          <w:szCs w:val="24"/>
          <w14:textFill>
            <w14:solidFill>
              <w14:schemeClr w14:val="tx1"/>
            </w14:solidFill>
          </w14:textFill>
        </w:rPr>
      </w:pPr>
      <w:r>
        <w:rPr>
          <w:b/>
          <w:bCs/>
          <w:color w:val="000000" w:themeColor="text1"/>
          <w:sz w:val="24"/>
          <w:szCs w:val="24"/>
          <w14:textFill>
            <w14:solidFill>
              <w14:schemeClr w14:val="tx1"/>
            </w14:solidFill>
          </w14:textFill>
        </w:rPr>
        <w:t>FUNDAMENTAÇÃO E DESCRIÇÃO DA NECESSIDADE DA CONTRATAÇÃO</w:t>
      </w:r>
    </w:p>
    <w:p w14:paraId="350A1160">
      <w:pPr>
        <w:pStyle w:val="72"/>
        <w:numPr>
          <w:ilvl w:val="1"/>
          <w:numId w:val="11"/>
        </w:numPr>
        <w:suppressAutoHyphens/>
        <w:spacing w:before="240" w:after="240" w:line="360" w:lineRule="auto"/>
        <w:ind w:left="0" w:firstLine="0"/>
        <w:contextualSpacing w:val="0"/>
        <w:jc w:val="both"/>
      </w:pPr>
      <w:r>
        <w:t>A contratação dos serviços de fiscalização eletrônica para avanço de sinal vermelho e parada sobre faixa de pedestres em Rondonópolis-MT é medida urgente e indispensável diante do preocupante cenário de segurança viária no município. Tal necessidade é evidenciada pelo aumento significativo de acidentes e mortes no trânsito local, o que exige ações imediatas e eficazes para proteger a vida, a integridade física e o bem-estar da população.</w:t>
      </w:r>
    </w:p>
    <w:p w14:paraId="5E496704">
      <w:pPr>
        <w:pStyle w:val="72"/>
        <w:numPr>
          <w:ilvl w:val="1"/>
          <w:numId w:val="11"/>
        </w:numPr>
        <w:suppressAutoHyphens/>
        <w:spacing w:before="240" w:after="240" w:line="360" w:lineRule="auto"/>
        <w:ind w:left="0" w:firstLine="0"/>
        <w:contextualSpacing w:val="0"/>
        <w:jc w:val="both"/>
      </w:pPr>
      <w:r>
        <w:t xml:space="preserve">A relevância da contratação está devidamente amparada no planejamento público, estando prevista no Plano de Contratações Anual (PCA) para o exercício de 2025, demonstrando o atendimento aos princípios da legalidade, eficiência e planejamento previstos na Lei nº 14.133/2021 e demais normativos aplicáveis.  </w:t>
      </w:r>
    </w:p>
    <w:p w14:paraId="4101E7CF">
      <w:pPr>
        <w:pStyle w:val="72"/>
        <w:numPr>
          <w:ilvl w:val="0"/>
          <w:numId w:val="6"/>
        </w:numPr>
        <w:spacing w:before="240" w:after="240" w:line="259" w:lineRule="auto"/>
        <w:ind w:left="0" w:firstLine="0"/>
        <w:contextualSpacing w:val="0"/>
        <w:jc w:val="both"/>
        <w:outlineLvl w:val="1"/>
        <w:rPr>
          <w:b/>
          <w:bCs/>
          <w:sz w:val="24"/>
          <w:szCs w:val="24"/>
        </w:rPr>
      </w:pPr>
      <w:r>
        <w:rPr>
          <w:b/>
          <w:bCs/>
          <w:sz w:val="24"/>
          <w:szCs w:val="24"/>
        </w:rPr>
        <w:t>DESCRIÇÃO DA SOLUÇÃO COMO UM TODO</w:t>
      </w:r>
    </w:p>
    <w:p w14:paraId="0126C47F">
      <w:pPr>
        <w:pStyle w:val="72"/>
        <w:numPr>
          <w:ilvl w:val="1"/>
          <w:numId w:val="12"/>
        </w:numPr>
        <w:suppressAutoHyphens/>
        <w:spacing w:before="240" w:after="240" w:line="360" w:lineRule="auto"/>
        <w:ind w:left="0" w:firstLine="0"/>
        <w:jc w:val="both"/>
      </w:pPr>
      <w:r>
        <w:t>A solução de fiscalização eletrônica a ser implementada em Rondonópolis-MT será contratada por meio do Sistema de Registro de Preços, garantindo uma abordagem completa e integrada que abarca todo o ciclo de vida do sistema. Essa solução compreende a fase de implantação, incluindo o fornecimento e a instalação dos equipamentos e da sinalização viária, bem como a operação contínua, manutenção preventiva e corretiva, atualizações tecnológicas e, quando necessário, a desativação dos equipamentos. Todos os aspectos técnicos e operacionais estão detalhadamente apresentados no Estudo Técnico Preliminar (ETP) que fundamenta esta contratação.</w:t>
      </w:r>
    </w:p>
    <w:p w14:paraId="474CFCE0">
      <w:pPr>
        <w:pStyle w:val="72"/>
        <w:spacing w:before="240" w:after="240" w:line="360" w:lineRule="auto"/>
        <w:ind w:left="0"/>
      </w:pPr>
    </w:p>
    <w:p w14:paraId="6F8DF4D1">
      <w:pPr>
        <w:pStyle w:val="72"/>
        <w:numPr>
          <w:ilvl w:val="0"/>
          <w:numId w:val="6"/>
        </w:numPr>
        <w:spacing w:before="240" w:after="240" w:line="259" w:lineRule="auto"/>
        <w:ind w:left="0" w:firstLine="0"/>
        <w:contextualSpacing w:val="0"/>
        <w:jc w:val="both"/>
        <w:outlineLvl w:val="1"/>
        <w:rPr>
          <w:b/>
          <w:bCs/>
        </w:rPr>
      </w:pPr>
      <w:r>
        <w:rPr>
          <w:b/>
          <w:bCs/>
        </w:rPr>
        <w:t>REQUISITOS DA CONTRATAÇÃO</w:t>
      </w:r>
    </w:p>
    <w:p w14:paraId="33F5DA41">
      <w:pPr>
        <w:pStyle w:val="72"/>
        <w:numPr>
          <w:ilvl w:val="1"/>
          <w:numId w:val="13"/>
        </w:numPr>
        <w:spacing w:before="240" w:after="240" w:line="360" w:lineRule="auto"/>
        <w:ind w:left="0" w:firstLine="0"/>
        <w:contextualSpacing w:val="0"/>
        <w:jc w:val="both"/>
        <w:rPr>
          <w:b/>
          <w:bCs/>
        </w:rPr>
      </w:pPr>
      <w:r>
        <w:t>A solução a ser contratada, abrangendo todos os equipamentos, sistemas e serviços, deverá atender integralmente aos requisitos gerais e específicos detalhados a seguir, – Descrição Técnica dos Requisitos e Especificações dos Equipamentos e Sistemas, parte integrante e indissociável deste Termo de Referência.</w:t>
      </w:r>
    </w:p>
    <w:p w14:paraId="79C2D1D7">
      <w:pPr>
        <w:pStyle w:val="72"/>
        <w:numPr>
          <w:ilvl w:val="1"/>
          <w:numId w:val="13"/>
        </w:numPr>
        <w:spacing w:before="240" w:after="240" w:line="360" w:lineRule="auto"/>
        <w:ind w:left="0" w:firstLine="0"/>
        <w:contextualSpacing w:val="0"/>
        <w:jc w:val="both"/>
        <w:rPr>
          <w:b/>
          <w:bCs/>
        </w:rPr>
      </w:pPr>
      <w:r>
        <w:rPr>
          <w:b/>
          <w:bCs/>
        </w:rPr>
        <w:t xml:space="preserve">Conformidade e Normas Técnicas </w:t>
      </w:r>
    </w:p>
    <w:p w14:paraId="41F92A54">
      <w:pPr>
        <w:pStyle w:val="72"/>
        <w:numPr>
          <w:ilvl w:val="2"/>
          <w:numId w:val="13"/>
        </w:numPr>
        <w:spacing w:before="240" w:after="240" w:line="360" w:lineRule="auto"/>
        <w:ind w:left="0" w:firstLine="0"/>
        <w:contextualSpacing w:val="0"/>
        <w:jc w:val="both"/>
        <w:rPr>
          <w:b/>
          <w:bCs/>
        </w:rPr>
      </w:pPr>
      <w:r>
        <w:t>Todos os equipamentos, sistemas, softwares e a sinalização viária fornecidos, instalados e operados deverão estar em plena conformidade com a legislação brasileira de trânsito e as normas técnicas aplicáveis, incluindo, mas não se limitando a:</w:t>
      </w:r>
    </w:p>
    <w:p w14:paraId="0ED9B0DC">
      <w:pPr>
        <w:pStyle w:val="72"/>
        <w:numPr>
          <w:ilvl w:val="2"/>
          <w:numId w:val="13"/>
        </w:numPr>
        <w:spacing w:before="240" w:after="240" w:line="360" w:lineRule="auto"/>
        <w:ind w:left="0" w:firstLine="0"/>
        <w:contextualSpacing w:val="0"/>
        <w:jc w:val="both"/>
      </w:pPr>
      <w:r>
        <w:t>Resoluções do Conselho Nacional de Trânsito (CONTRAN), especialmente as Resoluções nº 798/2020 (medidores de velocidade/radares) e nº 920/2022 (sistemas automáticos não metrológicos para fiscalização de avanço de sinal e parada sobre faixa), com suas atualizações;</w:t>
      </w:r>
    </w:p>
    <w:p w14:paraId="5062A151">
      <w:pPr>
        <w:pStyle w:val="72"/>
        <w:numPr>
          <w:ilvl w:val="0"/>
          <w:numId w:val="14"/>
        </w:numPr>
        <w:spacing w:before="240" w:after="240" w:line="360" w:lineRule="auto"/>
        <w:contextualSpacing w:val="0"/>
        <w:jc w:val="both"/>
      </w:pPr>
      <w:r>
        <w:t>Normas da Associação Brasileira de Normas Técnicas (ABNT) referentes a materiais, instalação, segurança e desempenho;</w:t>
      </w:r>
    </w:p>
    <w:p w14:paraId="72D37F82">
      <w:pPr>
        <w:pStyle w:val="72"/>
        <w:numPr>
          <w:ilvl w:val="0"/>
          <w:numId w:val="14"/>
        </w:numPr>
        <w:spacing w:before="240" w:after="240" w:line="360" w:lineRule="auto"/>
        <w:contextualSpacing w:val="0"/>
        <w:jc w:val="both"/>
      </w:pPr>
      <w:r>
        <w:t>Portarias do Instituto Nacional de Metrologia, Qualidade e Tecnologia (INMETRO), para homologação, certificação, ensaios e verificação metrológica, em especial a Portaria nº 158/2022 ou a que a substituir;</w:t>
      </w:r>
    </w:p>
    <w:p w14:paraId="36CF8B53">
      <w:pPr>
        <w:pStyle w:val="72"/>
        <w:numPr>
          <w:ilvl w:val="0"/>
          <w:numId w:val="14"/>
        </w:numPr>
        <w:spacing w:before="240" w:after="240" w:line="360" w:lineRule="auto"/>
        <w:contextualSpacing w:val="0"/>
        <w:jc w:val="both"/>
      </w:pPr>
      <w:r>
        <w:t>Manual Brasileiro de Sinalização de Trânsito, para correta instalação e manutenção da sinalização informativa e de advertência;</w:t>
      </w:r>
    </w:p>
    <w:p w14:paraId="5320B49C">
      <w:pPr>
        <w:pStyle w:val="72"/>
        <w:numPr>
          <w:ilvl w:val="0"/>
          <w:numId w:val="14"/>
        </w:numPr>
        <w:spacing w:before="240" w:after="240" w:line="360" w:lineRule="auto"/>
        <w:contextualSpacing w:val="0"/>
        <w:jc w:val="both"/>
      </w:pPr>
      <w:r>
        <w:t>Legislação Estadual e Municipal aplicável, incluindo normas do DETRAN-MT, do SENATRAN e demais dispositivos municipais pertinentes à fiscalização de trânsito e prestação de serviços públicos.</w:t>
      </w:r>
    </w:p>
    <w:p w14:paraId="28BDAD20">
      <w:pPr>
        <w:pStyle w:val="72"/>
        <w:numPr>
          <w:ilvl w:val="2"/>
          <w:numId w:val="13"/>
        </w:numPr>
        <w:spacing w:before="240" w:after="240" w:line="360" w:lineRule="auto"/>
        <w:ind w:left="0" w:firstLine="0"/>
        <w:contextualSpacing w:val="0"/>
        <w:jc w:val="both"/>
      </w:pPr>
      <w:r>
        <w:t>A comprovação da conformidade será feita por meio de homologações, certificações, laudos de ensaio e documentos técnicos emitidos por organismos acreditados pelo INMETRO ou outros órgãos competentes, conforme exigido para cada tipo de equipamento e sistema.</w:t>
      </w:r>
    </w:p>
    <w:p w14:paraId="0FA7600C">
      <w:pPr>
        <w:pStyle w:val="72"/>
        <w:numPr>
          <w:ilvl w:val="1"/>
          <w:numId w:val="13"/>
        </w:numPr>
        <w:spacing w:before="240" w:after="240" w:line="360" w:lineRule="auto"/>
        <w:ind w:left="0" w:firstLine="0"/>
        <w:contextualSpacing w:val="0"/>
        <w:jc w:val="both"/>
        <w:rPr>
          <w:b/>
          <w:bCs/>
        </w:rPr>
      </w:pPr>
      <w:r>
        <w:rPr>
          <w:b/>
          <w:bCs/>
        </w:rPr>
        <w:t>Requisitos de Sustentabilidade</w:t>
      </w:r>
    </w:p>
    <w:p w14:paraId="231C6169">
      <w:pPr>
        <w:pStyle w:val="72"/>
        <w:numPr>
          <w:ilvl w:val="2"/>
          <w:numId w:val="13"/>
        </w:numPr>
        <w:spacing w:before="240" w:after="240" w:line="360" w:lineRule="auto"/>
        <w:ind w:left="0" w:firstLine="0"/>
        <w:contextualSpacing w:val="0"/>
        <w:jc w:val="both"/>
      </w:pPr>
      <w:r>
        <w:t>Em consonância com o princípio do desenvolvimento nacional sustentável (Art. 5º da Lei nº 14.133/2021), a solução proposta deverá observar os seguintes requisitos de sustentabilidade, sempre que tecnicamente viável e economicamente justificável, demonstrando preocupação com o menor impacto ambiental e a eficiência no uso dos recursos:</w:t>
      </w:r>
    </w:p>
    <w:p w14:paraId="12D1C3B4">
      <w:pPr>
        <w:pStyle w:val="72"/>
        <w:numPr>
          <w:ilvl w:val="3"/>
          <w:numId w:val="13"/>
        </w:numPr>
        <w:spacing w:before="240" w:after="240" w:line="360" w:lineRule="auto"/>
        <w:ind w:left="0" w:firstLine="0"/>
        <w:contextualSpacing w:val="0"/>
        <w:jc w:val="both"/>
      </w:pPr>
      <w:r>
        <w:t xml:space="preserve"> Priorizar o emprego de materiais e tecnologias que possibilitem baixo consumo energético, devendo a contratada apresentar certificações ou comprovantes que atestem a eficiência energética;</w:t>
      </w:r>
    </w:p>
    <w:p w14:paraId="144D799B">
      <w:pPr>
        <w:pStyle w:val="72"/>
        <w:numPr>
          <w:ilvl w:val="3"/>
          <w:numId w:val="13"/>
        </w:numPr>
        <w:spacing w:before="240" w:after="240" w:line="360" w:lineRule="auto"/>
        <w:ind w:left="0" w:firstLine="0"/>
        <w:contextualSpacing w:val="0"/>
        <w:jc w:val="both"/>
      </w:pPr>
      <w:r>
        <w:t>Priorizar equipamentos e componentes fabricados com materiais reciclados ou facilmente recicláveis ao final da vida útil, promovendo reutilização e reinserção na cadeia produtiva;</w:t>
      </w:r>
    </w:p>
    <w:p w14:paraId="7B3EDF09">
      <w:pPr>
        <w:pStyle w:val="72"/>
        <w:numPr>
          <w:ilvl w:val="3"/>
          <w:numId w:val="13"/>
        </w:numPr>
        <w:spacing w:before="240" w:after="240" w:line="360" w:lineRule="auto"/>
        <w:ind w:left="0" w:firstLine="0"/>
        <w:contextualSpacing w:val="0"/>
        <w:jc w:val="both"/>
      </w:pPr>
      <w:r>
        <w:t>Adotar design otimizado para minimizar o uso de materiais, sem comprometer visibilidade, legibilidade e funcionalidade, facilitando a desmontagem e reciclagem ao término da vida útil;</w:t>
      </w:r>
    </w:p>
    <w:p w14:paraId="35FF5129">
      <w:pPr>
        <w:pStyle w:val="72"/>
        <w:numPr>
          <w:ilvl w:val="3"/>
          <w:numId w:val="13"/>
        </w:numPr>
        <w:spacing w:before="240" w:after="240" w:line="360" w:lineRule="auto"/>
        <w:ind w:left="0" w:firstLine="0"/>
        <w:contextualSpacing w:val="0"/>
        <w:jc w:val="both"/>
      </w:pPr>
      <w:r>
        <w:t>Optar por soluções e equipamentos duráveis, resistentes a intempéries, corrosão, desgaste e vandalismo, reduzindo a necessidade de substituição frequente.</w:t>
      </w:r>
    </w:p>
    <w:p w14:paraId="1ED95329">
      <w:pPr>
        <w:pStyle w:val="72"/>
        <w:numPr>
          <w:ilvl w:val="1"/>
          <w:numId w:val="13"/>
        </w:numPr>
        <w:spacing w:before="240" w:after="240" w:line="360" w:lineRule="auto"/>
        <w:ind w:left="0" w:firstLine="0"/>
        <w:contextualSpacing w:val="0"/>
        <w:jc w:val="both"/>
        <w:rPr>
          <w:b/>
          <w:bCs/>
        </w:rPr>
      </w:pPr>
      <w:r>
        <w:rPr>
          <w:b/>
          <w:bCs/>
        </w:rPr>
        <w:t xml:space="preserve">Qualidade dos Materiais </w:t>
      </w:r>
    </w:p>
    <w:p w14:paraId="12580764">
      <w:pPr>
        <w:pStyle w:val="72"/>
        <w:numPr>
          <w:ilvl w:val="2"/>
          <w:numId w:val="13"/>
        </w:numPr>
        <w:spacing w:before="240" w:after="240" w:line="360" w:lineRule="auto"/>
        <w:ind w:left="0" w:firstLine="0"/>
        <w:contextualSpacing w:val="0"/>
        <w:jc w:val="both"/>
      </w:pPr>
      <w:r>
        <w:t>Todos os materiais, componentes e equipamentos usados na fabricação, instalação, operação e manutenção dos sistemas deverão ser novos, de primeira linha, certificados pelos fabricantes e órgãos competentes.</w:t>
      </w:r>
    </w:p>
    <w:p w14:paraId="56204358">
      <w:pPr>
        <w:pStyle w:val="72"/>
        <w:numPr>
          <w:ilvl w:val="2"/>
          <w:numId w:val="13"/>
        </w:numPr>
        <w:spacing w:before="240" w:after="240" w:line="360" w:lineRule="auto"/>
        <w:ind w:left="0" w:firstLine="0"/>
        <w:contextualSpacing w:val="0"/>
        <w:jc w:val="both"/>
      </w:pPr>
      <w:r>
        <w:t>A licitante deverá comprovar a procedência e qualidade dos materiais mediante apresentação de fichas técnicas, catálogos e garantias dos fabricantes, assegurando durabilidade, confiabilidade e perfeito funcionamento durante a vigência contratual.</w:t>
      </w:r>
    </w:p>
    <w:p w14:paraId="2EC473C4">
      <w:pPr>
        <w:pStyle w:val="72"/>
        <w:numPr>
          <w:ilvl w:val="1"/>
          <w:numId w:val="13"/>
        </w:numPr>
        <w:spacing w:before="240" w:after="240" w:line="360" w:lineRule="auto"/>
        <w:ind w:left="0" w:firstLine="0"/>
        <w:contextualSpacing w:val="0"/>
        <w:jc w:val="both"/>
        <w:rPr>
          <w:b/>
          <w:bCs/>
        </w:rPr>
      </w:pPr>
      <w:r>
        <w:rPr>
          <w:b/>
          <w:bCs/>
        </w:rPr>
        <w:t xml:space="preserve">Capacidade de Fornecimento </w:t>
      </w:r>
    </w:p>
    <w:p w14:paraId="4199F627">
      <w:pPr>
        <w:pStyle w:val="72"/>
        <w:numPr>
          <w:ilvl w:val="2"/>
          <w:numId w:val="13"/>
        </w:numPr>
        <w:spacing w:before="240" w:after="240" w:line="360" w:lineRule="auto"/>
        <w:ind w:left="0" w:firstLine="0"/>
        <w:contextualSpacing w:val="0"/>
        <w:jc w:val="both"/>
      </w:pPr>
      <w:r>
        <w:t>As licitantes deverão demonstrar capacidade técnica e operacional para atender à demanda de fornecimento, instalação, operação e manutenção exigida neste Termo de Referência.</w:t>
      </w:r>
    </w:p>
    <w:p w14:paraId="4A8508BD">
      <w:pPr>
        <w:pStyle w:val="72"/>
        <w:numPr>
          <w:ilvl w:val="2"/>
          <w:numId w:val="13"/>
        </w:numPr>
        <w:spacing w:before="240" w:after="240" w:line="360" w:lineRule="auto"/>
        <w:ind w:left="0" w:firstLine="0"/>
        <w:contextualSpacing w:val="0"/>
        <w:jc w:val="both"/>
      </w:pPr>
      <w:r>
        <w:t>A contratada deverá garantir prazos para entrega, instalação e ativação em conformidade com ordens de serviço e cronogramas, além de manter estoque de peças e componentes para pronta reposição e suporte.</w:t>
      </w:r>
    </w:p>
    <w:p w14:paraId="6CAD1AF1">
      <w:pPr>
        <w:pStyle w:val="72"/>
        <w:numPr>
          <w:ilvl w:val="2"/>
          <w:numId w:val="13"/>
        </w:numPr>
        <w:spacing w:before="240" w:after="240" w:line="360" w:lineRule="auto"/>
        <w:ind w:left="0" w:firstLine="0"/>
        <w:contextualSpacing w:val="0"/>
        <w:jc w:val="both"/>
      </w:pPr>
      <w:r>
        <w:t>Experiência prévia em serviços semelhantes, com complexidade e vulto compatíveis, será diferencial importante na qualificação técnica.</w:t>
      </w:r>
    </w:p>
    <w:p w14:paraId="47EF790D">
      <w:pPr>
        <w:pStyle w:val="72"/>
        <w:numPr>
          <w:ilvl w:val="1"/>
          <w:numId w:val="13"/>
        </w:numPr>
        <w:spacing w:before="240" w:after="240" w:line="360" w:lineRule="auto"/>
        <w:ind w:left="0" w:firstLine="0"/>
        <w:contextualSpacing w:val="0"/>
        <w:jc w:val="both"/>
        <w:rPr>
          <w:b/>
          <w:bCs/>
        </w:rPr>
      </w:pPr>
      <w:r>
        <w:rPr>
          <w:b/>
          <w:bCs/>
        </w:rPr>
        <w:t xml:space="preserve">Propostas Financeiras </w:t>
      </w:r>
    </w:p>
    <w:p w14:paraId="4903B7F8">
      <w:pPr>
        <w:pStyle w:val="72"/>
        <w:numPr>
          <w:ilvl w:val="2"/>
          <w:numId w:val="13"/>
        </w:numPr>
        <w:spacing w:before="240" w:after="240" w:line="360" w:lineRule="auto"/>
        <w:ind w:left="0" w:firstLine="0"/>
        <w:contextualSpacing w:val="0"/>
        <w:jc w:val="both"/>
      </w:pPr>
      <w:r>
        <w:t>As propostas deverão ser transparentes, detalhadas por item, competitivas e respeitar o princípio da economicidade e o valor estimado da contratação, conforme pesquisa de mercado.</w:t>
      </w:r>
    </w:p>
    <w:p w14:paraId="2EB5938A">
      <w:pPr>
        <w:pStyle w:val="72"/>
        <w:numPr>
          <w:ilvl w:val="2"/>
          <w:numId w:val="13"/>
        </w:numPr>
        <w:spacing w:before="240" w:after="240" w:line="360" w:lineRule="auto"/>
        <w:ind w:left="0" w:firstLine="0"/>
        <w:contextualSpacing w:val="0"/>
        <w:jc w:val="both"/>
      </w:pPr>
      <w:r>
        <w:t>As cotações devem permitir análise comparativa visando a melhor relação custo-benefício para a Administração Pública, considerando o conjunto dos serviços e equipamentos exigidos.</w:t>
      </w:r>
    </w:p>
    <w:p w14:paraId="06E9E4EF">
      <w:pPr>
        <w:pStyle w:val="72"/>
        <w:numPr>
          <w:ilvl w:val="1"/>
          <w:numId w:val="13"/>
        </w:numPr>
        <w:spacing w:before="240" w:after="240" w:line="360" w:lineRule="auto"/>
        <w:ind w:left="0" w:firstLine="0"/>
        <w:contextualSpacing w:val="0"/>
        <w:jc w:val="both"/>
        <w:rPr>
          <w:b/>
          <w:bCs/>
        </w:rPr>
      </w:pPr>
      <w:r>
        <w:rPr>
          <w:b/>
          <w:bCs/>
        </w:rPr>
        <w:t>Das Amostras</w:t>
      </w:r>
    </w:p>
    <w:p w14:paraId="56006975">
      <w:pPr>
        <w:pStyle w:val="72"/>
        <w:numPr>
          <w:ilvl w:val="2"/>
          <w:numId w:val="13"/>
        </w:numPr>
        <w:spacing w:before="240" w:after="240" w:line="360" w:lineRule="auto"/>
        <w:ind w:left="0" w:firstLine="0"/>
        <w:contextualSpacing w:val="0"/>
        <w:jc w:val="both"/>
      </w:pPr>
      <w:r>
        <w:t>Não será exigida apresentação de amostras ou protótipos na fase de julgamento, dada a complexidade do objeto e a possibilidade de realização de Prova de Conceito (PoC) após a habilitação, conforme detalhado no Anexo I.</w:t>
      </w:r>
    </w:p>
    <w:p w14:paraId="68DA9607">
      <w:pPr>
        <w:pStyle w:val="72"/>
        <w:numPr>
          <w:ilvl w:val="1"/>
          <w:numId w:val="13"/>
        </w:numPr>
        <w:spacing w:before="240" w:after="240" w:line="360" w:lineRule="auto"/>
        <w:ind w:left="0" w:firstLine="0"/>
        <w:contextualSpacing w:val="0"/>
        <w:jc w:val="both"/>
        <w:rPr>
          <w:b/>
          <w:bCs/>
        </w:rPr>
      </w:pPr>
      <w:r>
        <w:rPr>
          <w:b/>
          <w:bCs/>
        </w:rPr>
        <w:t>Da Subcontratação</w:t>
      </w:r>
    </w:p>
    <w:p w14:paraId="24BA734B">
      <w:pPr>
        <w:pStyle w:val="72"/>
        <w:numPr>
          <w:ilvl w:val="2"/>
          <w:numId w:val="13"/>
        </w:numPr>
        <w:spacing w:before="240" w:after="240" w:line="360" w:lineRule="auto"/>
        <w:ind w:left="0" w:firstLine="0"/>
        <w:contextualSpacing w:val="0"/>
        <w:jc w:val="both"/>
        <w:rPr>
          <w:highlight w:val="yellow"/>
        </w:rPr>
      </w:pPr>
      <w:r>
        <w:rPr>
          <w:highlight w:val="yellow"/>
        </w:rPr>
        <w:t>Não será admitida subcontratação do objeto no que tange a operação do sistema, pertinente a manutenção corretiva e preventiva. A contratada deverá executar integralmente os serviços e fornecer os equipamentos com seus próprios recursos e equipe, assumindo total responsabilidade pela operação de serviço.</w:t>
      </w:r>
    </w:p>
    <w:p w14:paraId="1FE5DB8A">
      <w:pPr>
        <w:pStyle w:val="72"/>
        <w:numPr>
          <w:ilvl w:val="1"/>
          <w:numId w:val="13"/>
        </w:numPr>
        <w:spacing w:before="240" w:after="240" w:line="360" w:lineRule="auto"/>
        <w:ind w:left="0" w:firstLine="0"/>
        <w:contextualSpacing w:val="0"/>
        <w:jc w:val="both"/>
        <w:rPr>
          <w:b/>
          <w:bCs/>
        </w:rPr>
      </w:pPr>
      <w:r>
        <w:rPr>
          <w:b/>
          <w:bCs/>
        </w:rPr>
        <w:t>Da Garantia da Contratação</w:t>
      </w:r>
    </w:p>
    <w:p w14:paraId="5024080F">
      <w:pPr>
        <w:pStyle w:val="72"/>
        <w:numPr>
          <w:ilvl w:val="2"/>
          <w:numId w:val="13"/>
        </w:numPr>
        <w:spacing w:before="240" w:after="240" w:line="360" w:lineRule="auto"/>
        <w:ind w:left="0" w:firstLine="0"/>
        <w:contextualSpacing w:val="0"/>
        <w:jc w:val="both"/>
      </w:pPr>
      <w:r>
        <w:t>Não será exigida garantia contratual prevista no Art. 96 da Lei nº 14.133/2021, pois sua exigência poderia elevar o preço e comprometer a competitividade e economicidade. Considera-se suficiente a qualificação técnica, a realização da PoC e a fiscalização contínua para assegurar o cumprimento das obrigações.</w:t>
      </w:r>
    </w:p>
    <w:p w14:paraId="115619DE">
      <w:pPr>
        <w:pStyle w:val="72"/>
        <w:numPr>
          <w:ilvl w:val="1"/>
          <w:numId w:val="13"/>
        </w:numPr>
        <w:spacing w:before="240" w:after="240" w:line="360" w:lineRule="auto"/>
        <w:ind w:left="0" w:firstLine="0"/>
        <w:contextualSpacing w:val="0"/>
        <w:jc w:val="both"/>
        <w:rPr>
          <w:b/>
          <w:bCs/>
        </w:rPr>
      </w:pPr>
      <w:r>
        <w:rPr>
          <w:b/>
          <w:bCs/>
        </w:rPr>
        <w:t>Da Garantia dos Serviços e Equipamentos</w:t>
      </w:r>
    </w:p>
    <w:p w14:paraId="2F2B1B23">
      <w:pPr>
        <w:pStyle w:val="72"/>
        <w:numPr>
          <w:ilvl w:val="2"/>
          <w:numId w:val="13"/>
        </w:numPr>
        <w:spacing w:before="240" w:after="240" w:line="360" w:lineRule="auto"/>
        <w:ind w:left="0" w:firstLine="0"/>
        <w:contextualSpacing w:val="0"/>
        <w:jc w:val="both"/>
      </w:pPr>
      <w:r>
        <w:t>O prazo de garantia será aquele previsto no Código de Defesa do Consumidor (Lei nº 8.078/1990) e/ou especificações do fabricante.</w:t>
      </w:r>
    </w:p>
    <w:p w14:paraId="23BCDE1D">
      <w:pPr>
        <w:pStyle w:val="72"/>
        <w:numPr>
          <w:ilvl w:val="2"/>
          <w:numId w:val="13"/>
        </w:numPr>
        <w:spacing w:before="240" w:after="240" w:line="360" w:lineRule="auto"/>
        <w:ind w:left="0" w:firstLine="0"/>
        <w:contextualSpacing w:val="0"/>
        <w:jc w:val="both"/>
      </w:pPr>
      <w:r>
        <w:t>Para equipamentos eletrônicos e sistemas, a licitante deverá oferecer garantia mínima de 12 (doze) meses após instalação e aceitação, abrangendo defeitos de fabricação, falhas de funcionamento e de projeto, com correções e substituições sem custos adicionais para a Contratante.</w:t>
      </w:r>
    </w:p>
    <w:p w14:paraId="1FA1D48E">
      <w:pPr>
        <w:pStyle w:val="72"/>
        <w:numPr>
          <w:ilvl w:val="1"/>
          <w:numId w:val="13"/>
        </w:numPr>
        <w:spacing w:before="240" w:after="240" w:line="360" w:lineRule="auto"/>
        <w:ind w:left="0" w:firstLine="0"/>
        <w:contextualSpacing w:val="0"/>
        <w:jc w:val="both"/>
        <w:rPr>
          <w:b/>
          <w:bCs/>
        </w:rPr>
      </w:pPr>
      <w:r>
        <w:rPr>
          <w:b/>
          <w:bCs/>
        </w:rPr>
        <w:t>Da Qualificação Técnica</w:t>
      </w:r>
    </w:p>
    <w:p w14:paraId="1E641325">
      <w:pPr>
        <w:pStyle w:val="72"/>
        <w:numPr>
          <w:ilvl w:val="2"/>
          <w:numId w:val="13"/>
        </w:numPr>
        <w:spacing w:before="240" w:after="240" w:line="360" w:lineRule="auto"/>
        <w:ind w:left="0" w:firstLine="0"/>
        <w:contextualSpacing w:val="0"/>
        <w:jc w:val="both"/>
      </w:pPr>
      <w:r>
        <w:t>A qualificação técnica será comprovada por Atestados de Capacidade Técnica (ACT) emitidos por pessoas jurídicas públicas ou privadas, comprovando experiência pertinente e compatível em características, quantidades e complexidade com o objeto.</w:t>
      </w:r>
    </w:p>
    <w:p w14:paraId="003F37D4">
      <w:pPr>
        <w:pStyle w:val="72"/>
        <w:numPr>
          <w:ilvl w:val="2"/>
          <w:numId w:val="13"/>
        </w:numPr>
        <w:spacing w:before="240" w:after="240" w:line="360" w:lineRule="auto"/>
        <w:ind w:left="0" w:firstLine="0"/>
        <w:contextualSpacing w:val="0"/>
        <w:jc w:val="both"/>
      </w:pPr>
      <w:r>
        <w:t>Os atestados deverão abranger instalação, operação, manutenção e gestão de sistemas automáticos de fiscalização de trânsito (avanço de sinal, parada sobre faixa e/ou controle de velocidade), com fornecimento e/ou locação de equipamentos similares ao Previsto neste termo de Referência.</w:t>
      </w:r>
    </w:p>
    <w:p w14:paraId="23617A17">
      <w:pPr>
        <w:pStyle w:val="72"/>
        <w:numPr>
          <w:ilvl w:val="2"/>
          <w:numId w:val="13"/>
        </w:numPr>
        <w:spacing w:before="240" w:after="240" w:line="360" w:lineRule="auto"/>
        <w:jc w:val="both"/>
      </w:pPr>
      <w:r>
        <w:t xml:space="preserve"> Deverá ser apresentada comprovação de corpo técnico qualificado compatível, mediante Certidão de Acervo Técnico (CAT) ou documentos equivalentes.</w:t>
      </w:r>
    </w:p>
    <w:p w14:paraId="7B79AD41">
      <w:pPr>
        <w:pStyle w:val="72"/>
        <w:numPr>
          <w:ilvl w:val="2"/>
          <w:numId w:val="13"/>
        </w:numPr>
        <w:spacing w:before="240" w:after="240" w:line="360" w:lineRule="auto"/>
        <w:jc w:val="both"/>
      </w:pPr>
      <w:r>
        <w:t>A exigência de apresentação de Certidão de Acervo Técnico (CAT) ou documentos equivalentes tem por finalidade comprovar que a licitante dispõe de corpo técnico qualificado e compatível com o objeto a ser contratado. Essa comprovação é essencial para assegurar a correta execução do contrato, reduzir riscos de falhas e garantir a qualidade dos serviços. A previsão encontra amparo no art. 67, inciso II, da Lei nº 14.133/2021, que autoriza a Administração a exigir comprovação de profissional de nível técnico ou superior, devidamente registrado no conselho de classe, detentor de atestado de responsabilidade técnica por obra ou serviço de características semelhantes. A realização da Prova de Conceito (PoC), detalhada no Anexo VIII, será critério para avaliação da capacidade técnica e tecnológica da licitante classificada provisoriamente em primeiro lugar.</w:t>
      </w:r>
    </w:p>
    <w:p w14:paraId="7AAF8555">
      <w:pPr>
        <w:pStyle w:val="72"/>
        <w:spacing w:before="240" w:after="240" w:line="360" w:lineRule="auto"/>
        <w:jc w:val="both"/>
      </w:pPr>
    </w:p>
    <w:p w14:paraId="05F88006">
      <w:pPr>
        <w:pStyle w:val="72"/>
        <w:numPr>
          <w:ilvl w:val="1"/>
          <w:numId w:val="13"/>
        </w:numPr>
        <w:spacing w:before="240" w:after="240" w:line="360" w:lineRule="auto"/>
        <w:ind w:left="0" w:firstLine="0"/>
        <w:contextualSpacing w:val="0"/>
        <w:jc w:val="both"/>
        <w:rPr>
          <w:b/>
          <w:bCs/>
        </w:rPr>
      </w:pPr>
      <w:r>
        <w:rPr>
          <w:b/>
          <w:bCs/>
        </w:rPr>
        <w:t>Da Logística Reversa</w:t>
      </w:r>
    </w:p>
    <w:p w14:paraId="295410F7">
      <w:pPr>
        <w:pStyle w:val="72"/>
        <w:numPr>
          <w:ilvl w:val="2"/>
          <w:numId w:val="13"/>
        </w:numPr>
        <w:spacing w:before="240" w:after="240" w:line="360" w:lineRule="auto"/>
        <w:ind w:left="0" w:firstLine="0"/>
        <w:contextualSpacing w:val="0"/>
        <w:jc w:val="both"/>
      </w:pPr>
      <w:r>
        <w:t>A logística reversa não será aplicada diretamente pela Administração neste contrato. Considerando que a contratação envolve locação, operação e manutenção de equipamentos, a responsabilidade pelo descarte e gerenciamento do ciclo de vida dos equipamentos ao término do contrato caberá integralmente à empresa contratada, a qual deverá realizar essas ações em conformidade com a legislação ambiental vigente, sem ônus para a Administração Pública Municipal</w:t>
      </w:r>
    </w:p>
    <w:p w14:paraId="191BA2B5">
      <w:pPr>
        <w:pStyle w:val="72"/>
        <w:numPr>
          <w:ilvl w:val="0"/>
          <w:numId w:val="6"/>
        </w:numPr>
        <w:spacing w:after="160" w:line="360" w:lineRule="auto"/>
        <w:ind w:left="0" w:firstLine="0"/>
        <w:jc w:val="both"/>
        <w:outlineLvl w:val="1"/>
        <w:rPr>
          <w:b/>
          <w:bCs/>
        </w:rPr>
      </w:pPr>
      <w:r>
        <w:rPr>
          <w:b/>
          <w:bCs/>
        </w:rPr>
        <w:t xml:space="preserve">DESCRIÇÃO DOS SERVIÇOS </w:t>
      </w:r>
    </w:p>
    <w:p w14:paraId="543DBE76">
      <w:pPr>
        <w:pStyle w:val="72"/>
        <w:numPr>
          <w:ilvl w:val="1"/>
          <w:numId w:val="15"/>
        </w:numPr>
        <w:spacing w:before="240" w:after="240" w:line="360" w:lineRule="auto"/>
        <w:ind w:left="0" w:firstLine="0"/>
        <w:contextualSpacing w:val="0"/>
        <w:jc w:val="both"/>
      </w:pPr>
      <w:r>
        <w:t>As descrições a seguir têm como objetivo definir os elementos necessários para a contratação de empresa especializada na operacionalização e gerenciamento da solução de fiscalização eletrônica de trânsito para infrações de Excesso de Velocidade, avanço de sinal vermelho, parada sobre faixa de travessia de pedestres e Controle de Zona Máxima de Restrição de Veículos.</w:t>
      </w:r>
    </w:p>
    <w:p w14:paraId="5FC0A45C">
      <w:pPr>
        <w:pStyle w:val="72"/>
        <w:numPr>
          <w:ilvl w:val="1"/>
          <w:numId w:val="15"/>
        </w:numPr>
        <w:spacing w:before="240" w:after="240" w:line="360" w:lineRule="auto"/>
        <w:ind w:left="0" w:firstLine="0"/>
        <w:contextualSpacing w:val="0"/>
        <w:jc w:val="both"/>
      </w:pPr>
      <w:r>
        <w:t xml:space="preserve">A empresa contratada deverá executar as seguintes atividades: </w:t>
      </w:r>
    </w:p>
    <w:p w14:paraId="7C6E420C">
      <w:pPr>
        <w:pStyle w:val="72"/>
        <w:numPr>
          <w:ilvl w:val="2"/>
          <w:numId w:val="15"/>
        </w:numPr>
        <w:spacing w:before="240" w:after="240" w:line="360" w:lineRule="auto"/>
        <w:ind w:left="0" w:firstLine="0"/>
        <w:contextualSpacing w:val="0"/>
        <w:jc w:val="both"/>
      </w:pPr>
      <w:r>
        <w:t>Serviço de captação de imagens em vídeo, como solução para fiscalização eletrônica de trânsito, com captura de pré e pós-eventos, no mínimo 8 frames por segundo, sistema contínuo de captura de imagens 24 horas por dia, 7 dias por semana, e armazenamento dos vídeos por no mínimo 30 dias consecutivos de todas as câmeras instaladas.</w:t>
      </w:r>
    </w:p>
    <w:p w14:paraId="2CE8C464">
      <w:pPr>
        <w:pStyle w:val="72"/>
        <w:numPr>
          <w:ilvl w:val="2"/>
          <w:numId w:val="15"/>
        </w:numPr>
        <w:spacing w:before="240" w:after="240" w:line="360" w:lineRule="auto"/>
        <w:ind w:left="0" w:firstLine="0"/>
        <w:contextualSpacing w:val="0"/>
        <w:jc w:val="both"/>
      </w:pPr>
      <w:r>
        <w:t>O sistema deverá possibilitar gravação contínua de imagens (filmagem), independentemente da cor do semáforo ou da presença de veículos, permitindo a recuperação e gravação definitiva das imagens de pré e pós-evento, com no mínimo 8 frames por segundo, em intervalo programável de pelo menos 5 segundos, distribuídos conforme necessidade entre os momentos anteriores e posteriores ao evento.</w:t>
      </w:r>
    </w:p>
    <w:p w14:paraId="78C2F7E2">
      <w:pPr>
        <w:pStyle w:val="72"/>
        <w:numPr>
          <w:ilvl w:val="2"/>
          <w:numId w:val="15"/>
        </w:numPr>
        <w:spacing w:before="240" w:after="240" w:line="360" w:lineRule="auto"/>
        <w:ind w:left="0" w:firstLine="0"/>
        <w:contextualSpacing w:val="0"/>
        <w:jc w:val="both"/>
      </w:pPr>
      <w:r>
        <w:t>Serviço de operacionalização e manutenção dos equipamentos de fiscalização em pontos semaforizados do município, faixas de rolamento, para identificação das infrações previstas nos Arts. 208 e 183 do Código de Trânsito Brasileiro (CTB), referentes, respectivamente, ao avanço de sinal vermelho do semáforo e à parada de veículo sobre a faixa de travessia de pedestres durante mudança do sinal luminoso.</w:t>
      </w:r>
    </w:p>
    <w:p w14:paraId="6AAC84D9">
      <w:pPr>
        <w:pStyle w:val="72"/>
        <w:numPr>
          <w:ilvl w:val="2"/>
          <w:numId w:val="15"/>
        </w:numPr>
        <w:spacing w:before="240" w:after="240" w:line="360" w:lineRule="auto"/>
        <w:ind w:left="0" w:firstLine="0"/>
        <w:contextualSpacing w:val="0"/>
        <w:jc w:val="both"/>
      </w:pPr>
      <w:r>
        <w:t xml:space="preserve">O serviço deverá incluir o armazenamento e transmissão segura dos dados, além do fornecimento e implantação dos </w:t>
      </w:r>
      <w:r>
        <w:rPr>
          <w:i/>
          <w:iCs/>
        </w:rPr>
        <w:t>softwares</w:t>
      </w:r>
      <w:r>
        <w:t xml:space="preserve"> necessários ao pleno funcionamento dos equipamentos.</w:t>
      </w:r>
    </w:p>
    <w:p w14:paraId="77715A76">
      <w:pPr>
        <w:pStyle w:val="72"/>
        <w:numPr>
          <w:ilvl w:val="2"/>
          <w:numId w:val="15"/>
        </w:numPr>
        <w:spacing w:before="240" w:after="240" w:line="360" w:lineRule="auto"/>
        <w:ind w:left="0" w:firstLine="0"/>
        <w:contextualSpacing w:val="0"/>
        <w:jc w:val="both"/>
      </w:pPr>
      <w:r>
        <w:t>A seleção das imagens que configuram infrações de trânsito será realizada na sede da Secretaria Municipal de Mobilidade Urbana – SEMOB, e as infrações serão validadas pelos agentes de trânsito da CONTRATANTE</w:t>
      </w:r>
      <w:r>
        <w:rPr>
          <w:b/>
          <w:bCs/>
        </w:rPr>
        <w:t>.</w:t>
      </w:r>
    </w:p>
    <w:p w14:paraId="52A854B5">
      <w:pPr>
        <w:pStyle w:val="72"/>
        <w:numPr>
          <w:ilvl w:val="2"/>
          <w:numId w:val="15"/>
        </w:numPr>
        <w:spacing w:before="240" w:after="240" w:line="360" w:lineRule="auto"/>
        <w:ind w:left="0" w:firstLine="0"/>
        <w:contextualSpacing w:val="0"/>
        <w:jc w:val="both"/>
      </w:pPr>
      <w:r>
        <w:t>A prestação do serviço incluirá a disponibilização e instalação dos equipamentos, operação com configuração e apoio técnico (mão de obra), manutenção preventiva e corretiva dos equipamentos e da infraestrutura necessária para a fiscalização eletrônica de tráfego.</w:t>
      </w:r>
    </w:p>
    <w:p w14:paraId="1EC676B4">
      <w:pPr>
        <w:pStyle w:val="72"/>
        <w:numPr>
          <w:ilvl w:val="2"/>
          <w:numId w:val="15"/>
        </w:numPr>
        <w:spacing w:before="240" w:after="240" w:line="360" w:lineRule="auto"/>
        <w:ind w:left="0" w:firstLine="0"/>
        <w:contextualSpacing w:val="0"/>
        <w:jc w:val="both"/>
      </w:pPr>
      <w:r>
        <w:t xml:space="preserve">É de responsabilidade da CONTRATADA fornecer toda a infraestrutura necessária, incluindo todos os elementos físicos que compõem o conjunto estrutural, para a perfeita operação dos equipamentos. </w:t>
      </w:r>
    </w:p>
    <w:p w14:paraId="3EC48DCA">
      <w:pPr>
        <w:pStyle w:val="72"/>
        <w:numPr>
          <w:ilvl w:val="2"/>
          <w:numId w:val="15"/>
        </w:numPr>
        <w:spacing w:before="240" w:after="240" w:line="360" w:lineRule="auto"/>
        <w:ind w:left="0" w:firstLine="0"/>
        <w:contextualSpacing w:val="0"/>
        <w:jc w:val="both"/>
      </w:pPr>
      <w:r>
        <w:t>Os itens necessários para a fiscalização eletrônica de tráfego, voltados ao controle das infrações de avanço do sinal vermelho e parada sobre a faixa destinada à travessia de pedestres, serão executados por meio de equipamentos e sistemas integrados que realizam simultaneamente o monitoramento e o processamento dos registros e dados referentes ao serviço prestado, conforme detalhado no item a seguir.</w:t>
      </w:r>
    </w:p>
    <w:p w14:paraId="15805348">
      <w:pPr>
        <w:pStyle w:val="72"/>
        <w:numPr>
          <w:ilvl w:val="0"/>
          <w:numId w:val="6"/>
        </w:numPr>
        <w:spacing w:after="160" w:line="360" w:lineRule="auto"/>
        <w:ind w:left="0" w:firstLine="0"/>
        <w:jc w:val="both"/>
        <w:outlineLvl w:val="1"/>
        <w:rPr>
          <w:b/>
          <w:bCs/>
        </w:rPr>
      </w:pPr>
      <w:r>
        <w:rPr>
          <w:b/>
          <w:bCs/>
        </w:rPr>
        <w:t>LOCALIZAÇÃO DOS PONTOS SEMAFÓRICOS A SEREM IMPLANTADOS O SISTEMA DE FISCALIZAÇÃO ELETRÔNICA</w:t>
      </w:r>
    </w:p>
    <w:tbl>
      <w:tblPr>
        <w:tblStyle w:val="141"/>
        <w:tblW w:w="9351" w:type="dxa"/>
        <w:tblInd w:w="0" w:type="dxa"/>
        <w:tblLayout w:type="fixed"/>
        <w:tblCellMar>
          <w:top w:w="0" w:type="dxa"/>
          <w:left w:w="70" w:type="dxa"/>
          <w:bottom w:w="0" w:type="dxa"/>
          <w:right w:w="70" w:type="dxa"/>
        </w:tblCellMar>
      </w:tblPr>
      <w:tblGrid>
        <w:gridCol w:w="857"/>
        <w:gridCol w:w="154"/>
        <w:gridCol w:w="6"/>
        <w:gridCol w:w="5782"/>
        <w:gridCol w:w="1418"/>
        <w:gridCol w:w="1134"/>
      </w:tblGrid>
      <w:tr w14:paraId="111B0FB9">
        <w:tblPrEx>
          <w:tblCellMar>
            <w:top w:w="0" w:type="dxa"/>
            <w:left w:w="70" w:type="dxa"/>
            <w:bottom w:w="0" w:type="dxa"/>
            <w:right w:w="70" w:type="dxa"/>
          </w:tblCellMar>
        </w:tblPrEx>
        <w:trPr>
          <w:trHeight w:val="433" w:hRule="atLeast"/>
        </w:trPr>
        <w:tc>
          <w:tcPr>
            <w:tcW w:w="857" w:type="dxa"/>
            <w:tcBorders>
              <w:top w:val="single" w:color="000000" w:sz="4" w:space="0"/>
              <w:left w:val="single" w:color="000000" w:sz="4" w:space="0"/>
              <w:bottom w:val="nil"/>
              <w:right w:val="nil"/>
            </w:tcBorders>
            <w:shd w:val="clear" w:color="auto" w:fill="D8D8D8" w:themeFill="background1" w:themeFillShade="D9"/>
            <w:vAlign w:val="center"/>
          </w:tcPr>
          <w:p w14:paraId="375EB974">
            <w:pPr>
              <w:spacing w:line="240" w:lineRule="auto"/>
              <w:jc w:val="center"/>
              <w:rPr>
                <w:b/>
                <w:color w:val="000000"/>
                <w:sz w:val="16"/>
                <w:szCs w:val="16"/>
                <w:highlight w:val="lightGray"/>
              </w:rPr>
            </w:pPr>
            <w:r>
              <w:rPr>
                <w:b/>
                <w:color w:val="000000"/>
                <w:sz w:val="16"/>
                <w:szCs w:val="16"/>
                <w:highlight w:val="lightGray"/>
              </w:rPr>
              <w:t>Item</w:t>
            </w:r>
          </w:p>
        </w:tc>
        <w:tc>
          <w:tcPr>
            <w:tcW w:w="160" w:type="dxa"/>
            <w:gridSpan w:val="2"/>
            <w:tcBorders>
              <w:top w:val="single" w:color="000000" w:sz="4" w:space="0"/>
              <w:left w:val="nil"/>
              <w:bottom w:val="nil"/>
              <w:right w:val="single" w:color="000000" w:sz="4" w:space="0"/>
            </w:tcBorders>
            <w:shd w:val="clear" w:color="auto" w:fill="D8D8D8" w:themeFill="background1" w:themeFillShade="D9"/>
            <w:vAlign w:val="center"/>
          </w:tcPr>
          <w:p w14:paraId="47FD78C6">
            <w:pPr>
              <w:spacing w:line="240" w:lineRule="auto"/>
              <w:jc w:val="center"/>
              <w:rPr>
                <w:b/>
                <w:color w:val="000000"/>
                <w:sz w:val="16"/>
                <w:szCs w:val="16"/>
                <w:highlight w:val="lightGray"/>
              </w:rPr>
            </w:pPr>
          </w:p>
        </w:tc>
        <w:tc>
          <w:tcPr>
            <w:tcW w:w="5782" w:type="dxa"/>
            <w:tcBorders>
              <w:top w:val="single" w:color="000000" w:sz="4" w:space="0"/>
              <w:left w:val="nil"/>
              <w:bottom w:val="nil"/>
              <w:right w:val="single" w:color="auto" w:sz="4" w:space="0"/>
            </w:tcBorders>
            <w:shd w:val="clear" w:color="auto" w:fill="D8D8D8" w:themeFill="background1" w:themeFillShade="D9"/>
            <w:vAlign w:val="center"/>
          </w:tcPr>
          <w:p w14:paraId="620F1167">
            <w:pPr>
              <w:spacing w:line="240" w:lineRule="auto"/>
              <w:jc w:val="center"/>
              <w:rPr>
                <w:b/>
                <w:color w:val="000000"/>
                <w:sz w:val="16"/>
                <w:szCs w:val="16"/>
                <w:highlight w:val="lightGray"/>
              </w:rPr>
            </w:pPr>
            <w:r>
              <w:rPr>
                <w:b/>
                <w:sz w:val="16"/>
                <w:szCs w:val="16"/>
              </w:rPr>
              <w:t>Endereço</w:t>
            </w:r>
          </w:p>
        </w:tc>
        <w:tc>
          <w:tcPr>
            <w:tcW w:w="141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71B9593">
            <w:pPr>
              <w:spacing w:line="240" w:lineRule="auto"/>
              <w:jc w:val="center"/>
              <w:rPr>
                <w:b/>
                <w:color w:val="000000"/>
                <w:sz w:val="16"/>
                <w:szCs w:val="16"/>
                <w:highlight w:val="lightGray"/>
              </w:rPr>
            </w:pPr>
            <w:r>
              <w:rPr>
                <w:b/>
                <w:sz w:val="16"/>
                <w:szCs w:val="16"/>
                <w:highlight w:val="lightGray"/>
              </w:rPr>
              <w:t>Tipo</w:t>
            </w:r>
          </w:p>
        </w:tc>
        <w:tc>
          <w:tcPr>
            <w:tcW w:w="1134" w:type="dxa"/>
            <w:tcBorders>
              <w:top w:val="single" w:color="000000" w:sz="4" w:space="0"/>
              <w:left w:val="single" w:color="auto" w:sz="4" w:space="0"/>
              <w:bottom w:val="nil"/>
              <w:right w:val="single" w:color="000000" w:sz="4" w:space="0"/>
            </w:tcBorders>
            <w:shd w:val="clear" w:color="auto" w:fill="D8D8D8" w:themeFill="background1" w:themeFillShade="D9"/>
            <w:vAlign w:val="center"/>
          </w:tcPr>
          <w:p w14:paraId="34EA06FE">
            <w:pPr>
              <w:spacing w:line="240" w:lineRule="auto"/>
              <w:jc w:val="center"/>
              <w:rPr>
                <w:b/>
                <w:color w:val="000000"/>
                <w:sz w:val="16"/>
                <w:szCs w:val="16"/>
                <w:highlight w:val="lightGray"/>
              </w:rPr>
            </w:pPr>
            <w:r>
              <w:rPr>
                <w:b/>
                <w:color w:val="000000"/>
                <w:sz w:val="16"/>
                <w:szCs w:val="16"/>
                <w:highlight w:val="lightGray"/>
              </w:rPr>
              <w:t>Faixa por endereço</w:t>
            </w:r>
          </w:p>
        </w:tc>
      </w:tr>
      <w:tr w14:paraId="692E7CE6">
        <w:tblPrEx>
          <w:tblCellMar>
            <w:top w:w="0" w:type="dxa"/>
            <w:left w:w="70" w:type="dxa"/>
            <w:bottom w:w="0" w:type="dxa"/>
            <w:right w:w="70" w:type="dxa"/>
          </w:tblCellMar>
        </w:tblPrEx>
        <w:trPr>
          <w:trHeight w:val="660" w:hRule="atLeast"/>
        </w:trPr>
        <w:tc>
          <w:tcPr>
            <w:tcW w:w="1011"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7A3E7365">
            <w:pPr>
              <w:spacing w:line="240" w:lineRule="auto"/>
              <w:jc w:val="center"/>
              <w:rPr>
                <w:bCs/>
                <w:color w:val="000000"/>
                <w:sz w:val="16"/>
                <w:szCs w:val="16"/>
              </w:rPr>
            </w:pPr>
            <w:r>
              <w:rPr>
                <w:bCs/>
                <w:color w:val="000000"/>
                <w:sz w:val="16"/>
                <w:szCs w:val="16"/>
              </w:rPr>
              <w:t>1</w:t>
            </w:r>
          </w:p>
        </w:tc>
        <w:tc>
          <w:tcPr>
            <w:tcW w:w="5788" w:type="dxa"/>
            <w:gridSpan w:val="2"/>
            <w:tcBorders>
              <w:top w:val="single" w:color="000000" w:sz="4" w:space="0"/>
              <w:left w:val="nil"/>
              <w:bottom w:val="single" w:color="000000" w:sz="4" w:space="0"/>
              <w:right w:val="single" w:color="auto" w:sz="4" w:space="0"/>
            </w:tcBorders>
            <w:shd w:val="clear" w:color="auto" w:fill="FFFFFF" w:themeFill="background1"/>
            <w:vAlign w:val="center"/>
          </w:tcPr>
          <w:p w14:paraId="48DDDD4E">
            <w:pPr>
              <w:spacing w:line="240" w:lineRule="auto"/>
              <w:rPr>
                <w:bCs/>
                <w:color w:val="000000"/>
                <w:sz w:val="16"/>
                <w:szCs w:val="16"/>
              </w:rPr>
            </w:pPr>
            <w:r>
              <w:rPr>
                <w:bCs/>
                <w:sz w:val="16"/>
                <w:szCs w:val="16"/>
              </w:rPr>
              <w:t>RUA FERNANDO CORRÊA DA COSTA, CRUZAMENTO COM A</w:t>
            </w:r>
            <w:r>
              <w:rPr>
                <w:bCs/>
                <w:sz w:val="16"/>
                <w:szCs w:val="16"/>
              </w:rPr>
              <w:br w:type="textWrapping"/>
            </w:r>
            <w:r>
              <w:rPr>
                <w:bCs/>
                <w:sz w:val="16"/>
                <w:szCs w:val="16"/>
              </w:rPr>
              <w:t>AV. MARECHAL RONDON - CENTRO [Sentido: 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27FDDAB">
            <w:pPr>
              <w:spacing w:line="240" w:lineRule="auto"/>
              <w:jc w:val="center"/>
              <w:rPr>
                <w:bCs/>
                <w:sz w:val="16"/>
                <w:szCs w:val="16"/>
              </w:rPr>
            </w:pPr>
            <w:r>
              <w:rPr>
                <w:bCs/>
                <w:sz w:val="16"/>
                <w:szCs w:val="16"/>
              </w:rPr>
              <w:t>AVANÇO DE SEMÁFORO</w:t>
            </w:r>
          </w:p>
        </w:tc>
        <w:tc>
          <w:tcPr>
            <w:tcW w:w="1134" w:type="dxa"/>
            <w:tcBorders>
              <w:top w:val="single" w:color="000000" w:sz="4" w:space="0"/>
              <w:left w:val="single" w:color="auto" w:sz="4" w:space="0"/>
              <w:bottom w:val="single" w:color="000000" w:sz="4" w:space="0"/>
              <w:right w:val="single" w:color="000000" w:sz="4" w:space="0"/>
            </w:tcBorders>
            <w:shd w:val="clear" w:color="auto" w:fill="FFFFFF" w:themeFill="background1"/>
            <w:vAlign w:val="center"/>
          </w:tcPr>
          <w:p w14:paraId="7E67A4E9">
            <w:pPr>
              <w:spacing w:line="240" w:lineRule="auto"/>
              <w:jc w:val="center"/>
              <w:rPr>
                <w:bCs/>
                <w:color w:val="000000"/>
                <w:sz w:val="16"/>
                <w:szCs w:val="16"/>
              </w:rPr>
            </w:pPr>
            <w:r>
              <w:rPr>
                <w:bCs/>
                <w:color w:val="000000"/>
                <w:sz w:val="16"/>
                <w:szCs w:val="16"/>
              </w:rPr>
              <w:t>2</w:t>
            </w:r>
          </w:p>
        </w:tc>
      </w:tr>
      <w:tr w14:paraId="4B8F1A7C">
        <w:tblPrEx>
          <w:tblCellMar>
            <w:top w:w="0" w:type="dxa"/>
            <w:left w:w="70" w:type="dxa"/>
            <w:bottom w:w="0" w:type="dxa"/>
            <w:right w:w="70" w:type="dxa"/>
          </w:tblCellMar>
        </w:tblPrEx>
        <w:trPr>
          <w:trHeight w:val="822" w:hRule="atLeast"/>
        </w:trPr>
        <w:tc>
          <w:tcPr>
            <w:tcW w:w="1011"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77A76DF">
            <w:pPr>
              <w:spacing w:line="240" w:lineRule="auto"/>
              <w:jc w:val="center"/>
              <w:rPr>
                <w:bCs/>
                <w:color w:val="000000"/>
                <w:sz w:val="16"/>
                <w:szCs w:val="16"/>
              </w:rPr>
            </w:pPr>
            <w:r>
              <w:rPr>
                <w:bCs/>
                <w:color w:val="000000"/>
                <w:sz w:val="16"/>
                <w:szCs w:val="16"/>
              </w:rPr>
              <w:t>2</w:t>
            </w:r>
          </w:p>
        </w:tc>
        <w:tc>
          <w:tcPr>
            <w:tcW w:w="5788" w:type="dxa"/>
            <w:gridSpan w:val="2"/>
            <w:tcBorders>
              <w:top w:val="single" w:color="000000" w:sz="4" w:space="0"/>
              <w:left w:val="nil"/>
              <w:bottom w:val="single" w:color="000000" w:sz="4" w:space="0"/>
              <w:right w:val="single" w:color="000000" w:sz="4" w:space="0"/>
            </w:tcBorders>
            <w:shd w:val="clear" w:color="auto" w:fill="FFFFFF" w:themeFill="background1"/>
            <w:vAlign w:val="center"/>
          </w:tcPr>
          <w:p w14:paraId="702F1164">
            <w:pPr>
              <w:spacing w:line="240" w:lineRule="auto"/>
              <w:rPr>
                <w:bCs/>
                <w:color w:val="000000"/>
                <w:sz w:val="16"/>
                <w:szCs w:val="16"/>
              </w:rPr>
            </w:pPr>
            <w:r>
              <w:rPr>
                <w:bCs/>
                <w:sz w:val="16"/>
                <w:szCs w:val="16"/>
              </w:rPr>
              <w:t>AV. MARECHAL RONDON, CRUZAMENTO COM A RUA FERNANDO CORRÊA DA COSTA - CENTRO [Sentido:</w:t>
            </w:r>
            <w:r>
              <w:rPr>
                <w:bCs/>
                <w:sz w:val="16"/>
                <w:szCs w:val="16"/>
              </w:rPr>
              <w:br w:type="textWrapping"/>
            </w:r>
            <w:r>
              <w:rPr>
                <w:bCs/>
                <w:sz w:val="16"/>
                <w:szCs w:val="16"/>
              </w:rPr>
              <w:t>Centro/Bairro]</w:t>
            </w:r>
          </w:p>
        </w:tc>
        <w:tc>
          <w:tcPr>
            <w:tcW w:w="1418" w:type="dxa"/>
            <w:tcBorders>
              <w:top w:val="single" w:color="auto" w:sz="4" w:space="0"/>
              <w:left w:val="nil"/>
              <w:bottom w:val="single" w:color="000000" w:sz="4" w:space="0"/>
              <w:right w:val="single" w:color="000000" w:sz="4" w:space="0"/>
            </w:tcBorders>
            <w:shd w:val="clear" w:color="auto" w:fill="FFFFFF" w:themeFill="background1"/>
            <w:vAlign w:val="center"/>
          </w:tcPr>
          <w:p w14:paraId="58BB1500">
            <w:pPr>
              <w:spacing w:line="240" w:lineRule="auto"/>
              <w:jc w:val="center"/>
              <w:rPr>
                <w:bCs/>
                <w:sz w:val="16"/>
                <w:szCs w:val="16"/>
              </w:rPr>
            </w:pPr>
            <w:r>
              <w:rPr>
                <w:bCs/>
                <w:sz w:val="16"/>
                <w:szCs w:val="16"/>
              </w:rPr>
              <w:t>AVANÇO DE SEMÁFORO</w:t>
            </w:r>
          </w:p>
        </w:tc>
        <w:tc>
          <w:tcPr>
            <w:tcW w:w="1134" w:type="dxa"/>
            <w:tcBorders>
              <w:top w:val="single" w:color="000000" w:sz="4" w:space="0"/>
              <w:left w:val="nil"/>
              <w:bottom w:val="single" w:color="000000" w:sz="4" w:space="0"/>
              <w:right w:val="single" w:color="000000" w:sz="4" w:space="0"/>
            </w:tcBorders>
            <w:shd w:val="clear" w:color="auto" w:fill="FFFFFF" w:themeFill="background1"/>
            <w:vAlign w:val="center"/>
          </w:tcPr>
          <w:p w14:paraId="1C217B97">
            <w:pPr>
              <w:spacing w:line="240" w:lineRule="auto"/>
              <w:jc w:val="center"/>
              <w:rPr>
                <w:bCs/>
                <w:color w:val="000000"/>
                <w:sz w:val="16"/>
                <w:szCs w:val="16"/>
              </w:rPr>
            </w:pPr>
            <w:r>
              <w:rPr>
                <w:bCs/>
                <w:color w:val="000000"/>
                <w:sz w:val="16"/>
                <w:szCs w:val="16"/>
              </w:rPr>
              <w:t>2</w:t>
            </w:r>
          </w:p>
        </w:tc>
      </w:tr>
      <w:tr w14:paraId="136C18A9">
        <w:tblPrEx>
          <w:tblCellMar>
            <w:top w:w="0" w:type="dxa"/>
            <w:left w:w="70" w:type="dxa"/>
            <w:bottom w:w="0" w:type="dxa"/>
            <w:right w:w="70" w:type="dxa"/>
          </w:tblCellMar>
        </w:tblPrEx>
        <w:trPr>
          <w:trHeight w:val="660" w:hRule="atLeast"/>
        </w:trPr>
        <w:tc>
          <w:tcPr>
            <w:tcW w:w="1011"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4BF7DD97">
            <w:pPr>
              <w:spacing w:line="240" w:lineRule="auto"/>
              <w:jc w:val="center"/>
              <w:rPr>
                <w:bCs/>
                <w:color w:val="000000"/>
                <w:sz w:val="16"/>
                <w:szCs w:val="16"/>
              </w:rPr>
            </w:pPr>
            <w:r>
              <w:rPr>
                <w:bCs/>
                <w:color w:val="000000"/>
                <w:sz w:val="16"/>
                <w:szCs w:val="16"/>
              </w:rPr>
              <w:t>3</w:t>
            </w:r>
          </w:p>
        </w:tc>
        <w:tc>
          <w:tcPr>
            <w:tcW w:w="5788" w:type="dxa"/>
            <w:gridSpan w:val="2"/>
            <w:tcBorders>
              <w:top w:val="single" w:color="000000" w:sz="4" w:space="0"/>
              <w:left w:val="nil"/>
              <w:bottom w:val="single" w:color="000000" w:sz="4" w:space="0"/>
              <w:right w:val="single" w:color="000000" w:sz="4" w:space="0"/>
            </w:tcBorders>
            <w:shd w:val="clear" w:color="auto" w:fill="FFFFFF" w:themeFill="background1"/>
            <w:vAlign w:val="center"/>
          </w:tcPr>
          <w:p w14:paraId="7EFCBBD3">
            <w:pPr>
              <w:spacing w:line="240" w:lineRule="auto"/>
              <w:rPr>
                <w:bCs/>
                <w:color w:val="000000"/>
                <w:sz w:val="16"/>
                <w:szCs w:val="16"/>
              </w:rPr>
            </w:pPr>
            <w:r>
              <w:rPr>
                <w:bCs/>
                <w:sz w:val="16"/>
                <w:szCs w:val="16"/>
              </w:rPr>
              <w:t>RUA DOM PEDRO II, CRUZAMENTO COM A AV.</w:t>
            </w:r>
            <w:r>
              <w:rPr>
                <w:bCs/>
                <w:sz w:val="16"/>
                <w:szCs w:val="16"/>
              </w:rPr>
              <w:br w:type="textWrapping"/>
            </w:r>
            <w:r>
              <w:rPr>
                <w:bCs/>
                <w:sz w:val="16"/>
                <w:szCs w:val="16"/>
              </w:rPr>
              <w:t>BANDEIRANTES - CENTRO [Sentido: Centro/Bairro]</w:t>
            </w:r>
          </w:p>
        </w:tc>
        <w:tc>
          <w:tcPr>
            <w:tcW w:w="1418" w:type="dxa"/>
            <w:tcBorders>
              <w:top w:val="nil"/>
              <w:left w:val="nil"/>
              <w:bottom w:val="single" w:color="000000" w:sz="4" w:space="0"/>
              <w:right w:val="single" w:color="000000" w:sz="4" w:space="0"/>
            </w:tcBorders>
            <w:shd w:val="clear" w:color="auto" w:fill="FFFFFF" w:themeFill="background1"/>
            <w:vAlign w:val="center"/>
          </w:tcPr>
          <w:p w14:paraId="40BE82EA">
            <w:pPr>
              <w:spacing w:line="240" w:lineRule="auto"/>
              <w:jc w:val="center"/>
              <w:rPr>
                <w:bCs/>
                <w:sz w:val="16"/>
                <w:szCs w:val="16"/>
              </w:rPr>
            </w:pPr>
            <w:r>
              <w:rPr>
                <w:bCs/>
                <w:sz w:val="16"/>
                <w:szCs w:val="16"/>
              </w:rPr>
              <w:t>AVANÇO DE SEMÁFORO</w:t>
            </w:r>
          </w:p>
        </w:tc>
        <w:tc>
          <w:tcPr>
            <w:tcW w:w="1134" w:type="dxa"/>
            <w:tcBorders>
              <w:top w:val="single" w:color="000000" w:sz="4" w:space="0"/>
              <w:left w:val="nil"/>
              <w:bottom w:val="single" w:color="000000" w:sz="4" w:space="0"/>
              <w:right w:val="single" w:color="000000" w:sz="4" w:space="0"/>
            </w:tcBorders>
            <w:shd w:val="clear" w:color="auto" w:fill="FFFFFF" w:themeFill="background1"/>
            <w:vAlign w:val="center"/>
          </w:tcPr>
          <w:p w14:paraId="67B12F2F">
            <w:pPr>
              <w:spacing w:line="240" w:lineRule="auto"/>
              <w:jc w:val="center"/>
              <w:rPr>
                <w:bCs/>
                <w:color w:val="000000"/>
                <w:sz w:val="16"/>
                <w:szCs w:val="16"/>
              </w:rPr>
            </w:pPr>
            <w:r>
              <w:rPr>
                <w:bCs/>
                <w:color w:val="000000"/>
                <w:sz w:val="16"/>
                <w:szCs w:val="16"/>
              </w:rPr>
              <w:t>2</w:t>
            </w:r>
          </w:p>
        </w:tc>
      </w:tr>
      <w:tr w14:paraId="23FC86C1">
        <w:trPr>
          <w:trHeight w:val="660" w:hRule="atLeast"/>
        </w:trPr>
        <w:tc>
          <w:tcPr>
            <w:tcW w:w="1011"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34FAC52A">
            <w:pPr>
              <w:spacing w:line="240" w:lineRule="auto"/>
              <w:jc w:val="center"/>
              <w:rPr>
                <w:bCs/>
                <w:color w:val="000000"/>
                <w:sz w:val="16"/>
                <w:szCs w:val="16"/>
              </w:rPr>
            </w:pPr>
            <w:r>
              <w:rPr>
                <w:bCs/>
                <w:color w:val="000000"/>
                <w:sz w:val="16"/>
                <w:szCs w:val="16"/>
              </w:rPr>
              <w:t>4</w:t>
            </w:r>
          </w:p>
        </w:tc>
        <w:tc>
          <w:tcPr>
            <w:tcW w:w="5788" w:type="dxa"/>
            <w:gridSpan w:val="2"/>
            <w:tcBorders>
              <w:top w:val="single" w:color="000000" w:sz="4" w:space="0"/>
              <w:left w:val="nil"/>
              <w:bottom w:val="single" w:color="000000" w:sz="4" w:space="0"/>
              <w:right w:val="single" w:color="000000" w:sz="4" w:space="0"/>
            </w:tcBorders>
            <w:shd w:val="clear" w:color="auto" w:fill="FFFFFF" w:themeFill="background1"/>
            <w:vAlign w:val="center"/>
          </w:tcPr>
          <w:p w14:paraId="136AB7D3">
            <w:pPr>
              <w:spacing w:line="240" w:lineRule="auto"/>
              <w:rPr>
                <w:bCs/>
                <w:color w:val="000000"/>
                <w:sz w:val="16"/>
                <w:szCs w:val="16"/>
              </w:rPr>
            </w:pPr>
            <w:r>
              <w:rPr>
                <w:bCs/>
                <w:sz w:val="16"/>
                <w:szCs w:val="16"/>
              </w:rPr>
              <w:t>AV. BANDEIRANTES, CRUZAMENTO COM A RUA DOM</w:t>
            </w:r>
            <w:r>
              <w:rPr>
                <w:bCs/>
                <w:sz w:val="16"/>
                <w:szCs w:val="16"/>
              </w:rPr>
              <w:br w:type="textWrapping"/>
            </w:r>
            <w:r>
              <w:rPr>
                <w:bCs/>
                <w:sz w:val="16"/>
                <w:szCs w:val="16"/>
              </w:rPr>
              <w:t>PEDRO II - CENTRO [Sentido: Centro/Bairro]</w:t>
            </w:r>
          </w:p>
        </w:tc>
        <w:tc>
          <w:tcPr>
            <w:tcW w:w="1418" w:type="dxa"/>
            <w:tcBorders>
              <w:top w:val="nil"/>
              <w:left w:val="nil"/>
              <w:bottom w:val="single" w:color="000000" w:sz="4" w:space="0"/>
              <w:right w:val="single" w:color="000000" w:sz="4" w:space="0"/>
            </w:tcBorders>
            <w:shd w:val="clear" w:color="auto" w:fill="FFFFFF" w:themeFill="background1"/>
            <w:vAlign w:val="center"/>
          </w:tcPr>
          <w:p w14:paraId="001ACBC9">
            <w:pPr>
              <w:spacing w:line="240" w:lineRule="auto"/>
              <w:jc w:val="center"/>
              <w:rPr>
                <w:bCs/>
                <w:sz w:val="16"/>
                <w:szCs w:val="16"/>
              </w:rPr>
            </w:pPr>
            <w:r>
              <w:rPr>
                <w:bCs/>
                <w:sz w:val="16"/>
                <w:szCs w:val="16"/>
              </w:rPr>
              <w:t>AVANÇO DE SEMÁFORO</w:t>
            </w:r>
          </w:p>
        </w:tc>
        <w:tc>
          <w:tcPr>
            <w:tcW w:w="1134" w:type="dxa"/>
            <w:tcBorders>
              <w:top w:val="single" w:color="000000" w:sz="4" w:space="0"/>
              <w:left w:val="nil"/>
              <w:bottom w:val="single" w:color="000000" w:sz="4" w:space="0"/>
              <w:right w:val="single" w:color="000000" w:sz="4" w:space="0"/>
            </w:tcBorders>
            <w:shd w:val="clear" w:color="auto" w:fill="FFFFFF" w:themeFill="background1"/>
            <w:vAlign w:val="center"/>
          </w:tcPr>
          <w:p w14:paraId="1F087EFE">
            <w:pPr>
              <w:spacing w:line="240" w:lineRule="auto"/>
              <w:jc w:val="center"/>
              <w:rPr>
                <w:bCs/>
                <w:color w:val="000000"/>
                <w:sz w:val="16"/>
                <w:szCs w:val="16"/>
              </w:rPr>
            </w:pPr>
            <w:r>
              <w:rPr>
                <w:bCs/>
                <w:color w:val="000000"/>
                <w:sz w:val="16"/>
                <w:szCs w:val="16"/>
              </w:rPr>
              <w:t>2</w:t>
            </w:r>
          </w:p>
        </w:tc>
      </w:tr>
      <w:tr w14:paraId="2C778E58">
        <w:tblPrEx>
          <w:tblCellMar>
            <w:top w:w="0" w:type="dxa"/>
            <w:left w:w="70" w:type="dxa"/>
            <w:bottom w:w="0" w:type="dxa"/>
            <w:right w:w="70" w:type="dxa"/>
          </w:tblCellMar>
        </w:tblPrEx>
        <w:trPr>
          <w:trHeight w:val="660" w:hRule="atLeast"/>
        </w:trPr>
        <w:tc>
          <w:tcPr>
            <w:tcW w:w="1011" w:type="dxa"/>
            <w:gridSpan w:val="2"/>
            <w:tcBorders>
              <w:top w:val="single" w:color="000000" w:sz="4" w:space="0"/>
              <w:left w:val="single" w:color="000000" w:sz="4" w:space="0"/>
              <w:bottom w:val="single" w:color="000000" w:sz="4" w:space="0"/>
              <w:right w:val="single" w:color="000000" w:sz="4" w:space="0"/>
            </w:tcBorders>
            <w:shd w:val="clear" w:color="auto" w:fill="FFFFFF" w:themeFill="background1"/>
            <w:vAlign w:val="center"/>
          </w:tcPr>
          <w:p w14:paraId="29CA6FFC">
            <w:pPr>
              <w:spacing w:line="240" w:lineRule="auto"/>
              <w:jc w:val="center"/>
              <w:rPr>
                <w:bCs/>
                <w:color w:val="000000"/>
                <w:sz w:val="16"/>
                <w:szCs w:val="16"/>
              </w:rPr>
            </w:pPr>
            <w:r>
              <w:rPr>
                <w:bCs/>
                <w:color w:val="000000"/>
                <w:sz w:val="16"/>
                <w:szCs w:val="16"/>
              </w:rPr>
              <w:t>5</w:t>
            </w:r>
          </w:p>
        </w:tc>
        <w:tc>
          <w:tcPr>
            <w:tcW w:w="5788" w:type="dxa"/>
            <w:gridSpan w:val="2"/>
            <w:tcBorders>
              <w:top w:val="single" w:color="000000" w:sz="4" w:space="0"/>
              <w:left w:val="nil"/>
              <w:bottom w:val="single" w:color="000000" w:sz="4" w:space="0"/>
              <w:right w:val="single" w:color="000000" w:sz="4" w:space="0"/>
            </w:tcBorders>
            <w:shd w:val="clear" w:color="auto" w:fill="FFFFFF" w:themeFill="background1"/>
            <w:vAlign w:val="center"/>
          </w:tcPr>
          <w:p w14:paraId="5636D02A">
            <w:pPr>
              <w:spacing w:line="240" w:lineRule="auto"/>
              <w:rPr>
                <w:bCs/>
                <w:color w:val="000000"/>
                <w:sz w:val="16"/>
                <w:szCs w:val="16"/>
              </w:rPr>
            </w:pPr>
            <w:r>
              <w:rPr>
                <w:bCs/>
                <w:sz w:val="16"/>
                <w:szCs w:val="16"/>
              </w:rPr>
              <w:t>RUA DOM PEDRO II CRUZAMENTO COM AV. DOM</w:t>
            </w:r>
            <w:r>
              <w:rPr>
                <w:bCs/>
                <w:sz w:val="16"/>
                <w:szCs w:val="16"/>
              </w:rPr>
              <w:br w:type="textWrapping"/>
            </w:r>
            <w:r>
              <w:rPr>
                <w:bCs/>
                <w:sz w:val="16"/>
                <w:szCs w:val="16"/>
              </w:rPr>
              <w:t>WUNIBALDO - CENTRO [Sentido: Bairro/Centro]</w:t>
            </w:r>
          </w:p>
        </w:tc>
        <w:tc>
          <w:tcPr>
            <w:tcW w:w="1418" w:type="dxa"/>
            <w:tcBorders>
              <w:top w:val="nil"/>
              <w:left w:val="nil"/>
              <w:bottom w:val="single" w:color="000000" w:sz="4" w:space="0"/>
              <w:right w:val="single" w:color="000000" w:sz="4" w:space="0"/>
            </w:tcBorders>
            <w:shd w:val="clear" w:color="auto" w:fill="FFFFFF" w:themeFill="background1"/>
            <w:vAlign w:val="center"/>
          </w:tcPr>
          <w:p w14:paraId="0FDCCF40">
            <w:pPr>
              <w:spacing w:line="240" w:lineRule="auto"/>
              <w:jc w:val="center"/>
              <w:rPr>
                <w:bCs/>
                <w:sz w:val="16"/>
                <w:szCs w:val="16"/>
              </w:rPr>
            </w:pPr>
            <w:r>
              <w:rPr>
                <w:bCs/>
                <w:sz w:val="16"/>
                <w:szCs w:val="16"/>
              </w:rPr>
              <w:t>AVANÇO DE SEMÁFORO</w:t>
            </w:r>
          </w:p>
        </w:tc>
        <w:tc>
          <w:tcPr>
            <w:tcW w:w="1134" w:type="dxa"/>
            <w:tcBorders>
              <w:top w:val="single" w:color="000000" w:sz="4" w:space="0"/>
              <w:left w:val="nil"/>
              <w:bottom w:val="single" w:color="000000" w:sz="4" w:space="0"/>
              <w:right w:val="single" w:color="000000" w:sz="4" w:space="0"/>
            </w:tcBorders>
            <w:shd w:val="clear" w:color="auto" w:fill="FFFFFF" w:themeFill="background1"/>
            <w:vAlign w:val="center"/>
          </w:tcPr>
          <w:p w14:paraId="2507849F">
            <w:pPr>
              <w:spacing w:line="240" w:lineRule="auto"/>
              <w:jc w:val="center"/>
              <w:rPr>
                <w:bCs/>
                <w:color w:val="000000"/>
                <w:sz w:val="16"/>
                <w:szCs w:val="16"/>
              </w:rPr>
            </w:pPr>
            <w:r>
              <w:rPr>
                <w:bCs/>
                <w:color w:val="000000"/>
                <w:sz w:val="16"/>
                <w:szCs w:val="16"/>
              </w:rPr>
              <w:t>2</w:t>
            </w:r>
          </w:p>
        </w:tc>
      </w:tr>
      <w:tr w14:paraId="268A0993">
        <w:tblPrEx>
          <w:tblCellMar>
            <w:top w:w="0" w:type="dxa"/>
            <w:left w:w="70" w:type="dxa"/>
            <w:bottom w:w="0" w:type="dxa"/>
            <w:right w:w="70" w:type="dxa"/>
          </w:tblCellMar>
        </w:tblPrEx>
        <w:trPr>
          <w:trHeight w:val="660" w:hRule="atLeast"/>
        </w:trPr>
        <w:tc>
          <w:tcPr>
            <w:tcW w:w="1011" w:type="dxa"/>
            <w:gridSpan w:val="2"/>
            <w:tcBorders>
              <w:top w:val="single" w:color="000000" w:sz="4" w:space="0"/>
              <w:left w:val="single" w:color="000000" w:sz="4" w:space="0"/>
              <w:bottom w:val="single" w:color="auto" w:sz="4" w:space="0"/>
              <w:right w:val="single" w:color="000000" w:sz="4" w:space="0"/>
            </w:tcBorders>
            <w:shd w:val="clear" w:color="auto" w:fill="FFFFFF" w:themeFill="background1"/>
            <w:vAlign w:val="center"/>
          </w:tcPr>
          <w:p w14:paraId="019CA3DC">
            <w:pPr>
              <w:spacing w:line="240" w:lineRule="auto"/>
              <w:jc w:val="center"/>
              <w:rPr>
                <w:bCs/>
                <w:color w:val="000000"/>
                <w:sz w:val="16"/>
                <w:szCs w:val="16"/>
              </w:rPr>
            </w:pPr>
            <w:r>
              <w:rPr>
                <w:bCs/>
                <w:color w:val="000000"/>
                <w:sz w:val="16"/>
                <w:szCs w:val="16"/>
              </w:rPr>
              <w:t>6</w:t>
            </w:r>
          </w:p>
        </w:tc>
        <w:tc>
          <w:tcPr>
            <w:tcW w:w="5788" w:type="dxa"/>
            <w:gridSpan w:val="2"/>
            <w:tcBorders>
              <w:top w:val="single" w:color="000000" w:sz="4" w:space="0"/>
              <w:left w:val="nil"/>
              <w:bottom w:val="single" w:color="auto" w:sz="4" w:space="0"/>
              <w:right w:val="single" w:color="000000" w:sz="4" w:space="0"/>
            </w:tcBorders>
            <w:shd w:val="clear" w:color="auto" w:fill="FFFFFF" w:themeFill="background1"/>
            <w:vAlign w:val="center"/>
          </w:tcPr>
          <w:p w14:paraId="7146D2E3">
            <w:pPr>
              <w:spacing w:line="240" w:lineRule="auto"/>
              <w:rPr>
                <w:bCs/>
                <w:color w:val="000000"/>
                <w:sz w:val="16"/>
                <w:szCs w:val="16"/>
              </w:rPr>
            </w:pPr>
            <w:r>
              <w:rPr>
                <w:bCs/>
                <w:sz w:val="16"/>
                <w:szCs w:val="16"/>
              </w:rPr>
              <w:t>AV. DOM WUNIBALDO, CRUZAMENTO COM A RUA DOM</w:t>
            </w:r>
            <w:r>
              <w:rPr>
                <w:bCs/>
                <w:sz w:val="16"/>
                <w:szCs w:val="16"/>
              </w:rPr>
              <w:br w:type="textWrapping"/>
            </w:r>
            <w:r>
              <w:rPr>
                <w:bCs/>
                <w:sz w:val="16"/>
                <w:szCs w:val="16"/>
              </w:rPr>
              <w:t>PEDRO II - CENTRO [Sentido: Centro/Bairro]</w:t>
            </w:r>
          </w:p>
        </w:tc>
        <w:tc>
          <w:tcPr>
            <w:tcW w:w="1418" w:type="dxa"/>
            <w:tcBorders>
              <w:top w:val="nil"/>
              <w:left w:val="nil"/>
              <w:bottom w:val="single" w:color="auto" w:sz="4" w:space="0"/>
              <w:right w:val="single" w:color="000000" w:sz="4" w:space="0"/>
            </w:tcBorders>
            <w:shd w:val="clear" w:color="auto" w:fill="FFFFFF" w:themeFill="background1"/>
            <w:vAlign w:val="center"/>
          </w:tcPr>
          <w:p w14:paraId="45152F80">
            <w:pPr>
              <w:spacing w:line="240" w:lineRule="auto"/>
              <w:jc w:val="center"/>
              <w:rPr>
                <w:bCs/>
                <w:sz w:val="16"/>
                <w:szCs w:val="16"/>
              </w:rPr>
            </w:pPr>
            <w:r>
              <w:rPr>
                <w:bCs/>
                <w:sz w:val="16"/>
                <w:szCs w:val="16"/>
              </w:rPr>
              <w:t>AVANÇO DE SEMÁFORO</w:t>
            </w:r>
          </w:p>
        </w:tc>
        <w:tc>
          <w:tcPr>
            <w:tcW w:w="1134" w:type="dxa"/>
            <w:tcBorders>
              <w:top w:val="single" w:color="000000" w:sz="4" w:space="0"/>
              <w:left w:val="nil"/>
              <w:bottom w:val="single" w:color="auto" w:sz="4" w:space="0"/>
              <w:right w:val="single" w:color="000000" w:sz="4" w:space="0"/>
            </w:tcBorders>
            <w:shd w:val="clear" w:color="auto" w:fill="FFFFFF" w:themeFill="background1"/>
            <w:vAlign w:val="center"/>
          </w:tcPr>
          <w:p w14:paraId="58CC0935">
            <w:pPr>
              <w:spacing w:line="240" w:lineRule="auto"/>
              <w:jc w:val="center"/>
              <w:rPr>
                <w:bCs/>
                <w:color w:val="000000"/>
                <w:sz w:val="16"/>
                <w:szCs w:val="16"/>
              </w:rPr>
            </w:pPr>
            <w:r>
              <w:rPr>
                <w:bCs/>
                <w:color w:val="000000"/>
                <w:sz w:val="16"/>
                <w:szCs w:val="16"/>
              </w:rPr>
              <w:t>2</w:t>
            </w:r>
          </w:p>
        </w:tc>
      </w:tr>
      <w:tr w14:paraId="5C8DBE5D">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89E25A5">
            <w:pPr>
              <w:spacing w:line="240" w:lineRule="auto"/>
              <w:jc w:val="center"/>
              <w:rPr>
                <w:bCs/>
                <w:color w:val="000000"/>
                <w:sz w:val="16"/>
                <w:szCs w:val="16"/>
              </w:rPr>
            </w:pPr>
            <w:r>
              <w:rPr>
                <w:bCs/>
                <w:color w:val="000000"/>
                <w:sz w:val="16"/>
                <w:szCs w:val="16"/>
              </w:rPr>
              <w:t>7</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616EB3C">
            <w:pPr>
              <w:spacing w:line="240" w:lineRule="auto"/>
              <w:rPr>
                <w:bCs/>
                <w:sz w:val="16"/>
                <w:szCs w:val="16"/>
              </w:rPr>
            </w:pPr>
            <w:r>
              <w:rPr>
                <w:bCs/>
                <w:sz w:val="16"/>
                <w:szCs w:val="16"/>
              </w:rPr>
              <w:t>RUA BARÃO DO RIO BRANCO, CRUZAMENTO COM A AV. FREI SERVÁCIO - BAIRRO SANTA CRUZ [Bairro/Centro]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84B0A6E">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1DBE931">
            <w:pPr>
              <w:spacing w:line="240" w:lineRule="auto"/>
              <w:jc w:val="center"/>
              <w:rPr>
                <w:bCs/>
                <w:color w:val="000000"/>
                <w:sz w:val="16"/>
                <w:szCs w:val="16"/>
              </w:rPr>
            </w:pPr>
            <w:r>
              <w:rPr>
                <w:bCs/>
                <w:color w:val="000000"/>
                <w:sz w:val="16"/>
                <w:szCs w:val="16"/>
              </w:rPr>
              <w:t>2</w:t>
            </w:r>
          </w:p>
        </w:tc>
      </w:tr>
      <w:tr w14:paraId="1C576D26">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4CCCD27">
            <w:pPr>
              <w:spacing w:line="240" w:lineRule="auto"/>
              <w:jc w:val="center"/>
              <w:rPr>
                <w:bCs/>
                <w:color w:val="000000"/>
                <w:sz w:val="16"/>
                <w:szCs w:val="16"/>
              </w:rPr>
            </w:pPr>
            <w:r>
              <w:rPr>
                <w:bCs/>
                <w:color w:val="000000"/>
                <w:sz w:val="16"/>
                <w:szCs w:val="16"/>
              </w:rPr>
              <w:t>8</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FE72310">
            <w:pPr>
              <w:spacing w:line="240" w:lineRule="auto"/>
              <w:rPr>
                <w:bCs/>
                <w:sz w:val="16"/>
                <w:szCs w:val="16"/>
              </w:rPr>
            </w:pPr>
            <w:r>
              <w:rPr>
                <w:bCs/>
                <w:sz w:val="16"/>
                <w:szCs w:val="16"/>
              </w:rPr>
              <w:t>AV. FREI SERVÁCIO, CRUZAMENTO COM A RUA BARÃO DO RIO BRANCO - BAIRRO SANTA CRUZ [Centro/Bairro]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1390B1B">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46BF308">
            <w:pPr>
              <w:spacing w:line="240" w:lineRule="auto"/>
              <w:jc w:val="center"/>
              <w:rPr>
                <w:bCs/>
                <w:color w:val="000000"/>
                <w:sz w:val="16"/>
                <w:szCs w:val="16"/>
              </w:rPr>
            </w:pPr>
            <w:r>
              <w:rPr>
                <w:bCs/>
                <w:color w:val="000000"/>
                <w:sz w:val="16"/>
                <w:szCs w:val="16"/>
              </w:rPr>
              <w:t>2</w:t>
            </w:r>
          </w:p>
        </w:tc>
      </w:tr>
      <w:tr w14:paraId="05F15A44">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1030C37">
            <w:pPr>
              <w:spacing w:line="240" w:lineRule="auto"/>
              <w:jc w:val="center"/>
              <w:rPr>
                <w:bCs/>
                <w:color w:val="000000"/>
                <w:sz w:val="16"/>
                <w:szCs w:val="16"/>
              </w:rPr>
            </w:pPr>
            <w:r>
              <w:rPr>
                <w:bCs/>
                <w:color w:val="000000"/>
                <w:sz w:val="16"/>
                <w:szCs w:val="16"/>
              </w:rPr>
              <w:t>9</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CF889C6">
            <w:pPr>
              <w:spacing w:line="240" w:lineRule="auto"/>
              <w:rPr>
                <w:bCs/>
                <w:color w:val="000000"/>
                <w:sz w:val="16"/>
                <w:szCs w:val="16"/>
              </w:rPr>
            </w:pPr>
            <w:r>
              <w:rPr>
                <w:bCs/>
                <w:sz w:val="16"/>
                <w:szCs w:val="16"/>
              </w:rPr>
              <w:t>AV. JOÃO PONCE DE ARRUDA CRUZAMENTO COM A RUA</w:t>
            </w:r>
            <w:r>
              <w:rPr>
                <w:bCs/>
                <w:sz w:val="16"/>
                <w:szCs w:val="16"/>
              </w:rPr>
              <w:br w:type="textWrapping"/>
            </w:r>
            <w:r>
              <w:rPr>
                <w:bCs/>
                <w:sz w:val="16"/>
                <w:szCs w:val="16"/>
              </w:rPr>
              <w:t>DOM PEDRO II [Centro/Bairro]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5CA4B11">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CAEB8B8">
            <w:pPr>
              <w:spacing w:line="240" w:lineRule="auto"/>
              <w:jc w:val="center"/>
              <w:rPr>
                <w:bCs/>
                <w:color w:val="000000"/>
                <w:sz w:val="16"/>
                <w:szCs w:val="16"/>
              </w:rPr>
            </w:pPr>
            <w:r>
              <w:rPr>
                <w:bCs/>
                <w:color w:val="000000"/>
                <w:sz w:val="16"/>
                <w:szCs w:val="16"/>
              </w:rPr>
              <w:t>2</w:t>
            </w:r>
          </w:p>
        </w:tc>
      </w:tr>
      <w:tr w14:paraId="23C72B71">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7209A14">
            <w:pPr>
              <w:spacing w:line="240" w:lineRule="auto"/>
              <w:jc w:val="center"/>
              <w:rPr>
                <w:bCs/>
                <w:color w:val="000000"/>
                <w:sz w:val="16"/>
                <w:szCs w:val="16"/>
              </w:rPr>
            </w:pPr>
            <w:r>
              <w:rPr>
                <w:bCs/>
                <w:color w:val="000000"/>
                <w:sz w:val="16"/>
                <w:szCs w:val="16"/>
              </w:rPr>
              <w:t>10</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8C3ADA8">
            <w:pPr>
              <w:spacing w:line="240" w:lineRule="auto"/>
              <w:rPr>
                <w:bCs/>
                <w:color w:val="000000"/>
                <w:sz w:val="16"/>
                <w:szCs w:val="16"/>
              </w:rPr>
            </w:pPr>
            <w:r>
              <w:rPr>
                <w:bCs/>
                <w:sz w:val="16"/>
                <w:szCs w:val="16"/>
              </w:rPr>
              <w:t>RUA DOM PEDRO II, CRUZAMENTO COM A AV. JOAO</w:t>
            </w:r>
            <w:r>
              <w:rPr>
                <w:bCs/>
                <w:sz w:val="16"/>
                <w:szCs w:val="16"/>
              </w:rPr>
              <w:br w:type="textWrapping"/>
            </w:r>
            <w:r>
              <w:rPr>
                <w:bCs/>
                <w:sz w:val="16"/>
                <w:szCs w:val="16"/>
              </w:rPr>
              <w:t>PONCE DE ARRUDA [Centro/Bairro]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5E9EF4E">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A8E650B">
            <w:pPr>
              <w:spacing w:line="240" w:lineRule="auto"/>
              <w:jc w:val="center"/>
              <w:rPr>
                <w:bCs/>
                <w:color w:val="000000"/>
                <w:sz w:val="16"/>
                <w:szCs w:val="16"/>
              </w:rPr>
            </w:pPr>
            <w:r>
              <w:rPr>
                <w:bCs/>
                <w:color w:val="000000"/>
                <w:sz w:val="16"/>
                <w:szCs w:val="16"/>
              </w:rPr>
              <w:t>2</w:t>
            </w:r>
          </w:p>
        </w:tc>
      </w:tr>
      <w:tr w14:paraId="6F5281DC">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ADA5CBA">
            <w:pPr>
              <w:spacing w:line="240" w:lineRule="auto"/>
              <w:jc w:val="center"/>
              <w:rPr>
                <w:bCs/>
                <w:color w:val="000000"/>
                <w:sz w:val="16"/>
                <w:szCs w:val="16"/>
              </w:rPr>
            </w:pPr>
            <w:r>
              <w:rPr>
                <w:bCs/>
                <w:color w:val="000000"/>
                <w:sz w:val="16"/>
                <w:szCs w:val="16"/>
              </w:rPr>
              <w:t>11</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6241AC6">
            <w:pPr>
              <w:spacing w:line="240" w:lineRule="auto"/>
              <w:rPr>
                <w:bCs/>
                <w:color w:val="000000"/>
                <w:sz w:val="16"/>
                <w:szCs w:val="16"/>
              </w:rPr>
            </w:pPr>
            <w:r>
              <w:rPr>
                <w:bCs/>
                <w:sz w:val="16"/>
                <w:szCs w:val="16"/>
              </w:rPr>
              <w:t>AV. TIRADENTES, CRUZAMENTO COM A RUA DOM PEDRO II</w:t>
            </w:r>
            <w:r>
              <w:rPr>
                <w:bCs/>
                <w:sz w:val="16"/>
                <w:szCs w:val="16"/>
              </w:rPr>
              <w:br w:type="textWrapping"/>
            </w:r>
            <w:r>
              <w:rPr>
                <w:bCs/>
                <w:sz w:val="16"/>
                <w:szCs w:val="16"/>
              </w:rPr>
              <w:t>[Centro/Bairro]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223D12F">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31CB4D8">
            <w:pPr>
              <w:spacing w:line="240" w:lineRule="auto"/>
              <w:jc w:val="center"/>
              <w:rPr>
                <w:bCs/>
                <w:color w:val="000000"/>
                <w:sz w:val="16"/>
                <w:szCs w:val="16"/>
              </w:rPr>
            </w:pPr>
            <w:r>
              <w:rPr>
                <w:bCs/>
                <w:color w:val="000000"/>
                <w:sz w:val="16"/>
                <w:szCs w:val="16"/>
              </w:rPr>
              <w:t>2</w:t>
            </w:r>
          </w:p>
        </w:tc>
      </w:tr>
      <w:tr w14:paraId="0232B274">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B4CB907">
            <w:pPr>
              <w:spacing w:line="240" w:lineRule="auto"/>
              <w:jc w:val="center"/>
              <w:rPr>
                <w:bCs/>
                <w:color w:val="000000"/>
                <w:sz w:val="16"/>
                <w:szCs w:val="16"/>
              </w:rPr>
            </w:pPr>
            <w:r>
              <w:rPr>
                <w:bCs/>
                <w:color w:val="000000"/>
                <w:sz w:val="16"/>
                <w:szCs w:val="16"/>
              </w:rPr>
              <w:t>12</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9630ECB">
            <w:pPr>
              <w:spacing w:line="240" w:lineRule="auto"/>
              <w:rPr>
                <w:bCs/>
                <w:color w:val="000000"/>
                <w:sz w:val="16"/>
                <w:szCs w:val="16"/>
              </w:rPr>
            </w:pPr>
            <w:r>
              <w:rPr>
                <w:bCs/>
                <w:sz w:val="16"/>
                <w:szCs w:val="16"/>
              </w:rPr>
              <w:t>AV. RUA DOM PEDRO II, CRUZAMENTO COM TIRADENTES</w:t>
            </w:r>
            <w:r>
              <w:rPr>
                <w:bCs/>
                <w:sz w:val="16"/>
                <w:szCs w:val="16"/>
              </w:rPr>
              <w:br w:type="textWrapping"/>
            </w:r>
            <w:r>
              <w:rPr>
                <w:bCs/>
                <w:sz w:val="16"/>
                <w:szCs w:val="16"/>
              </w:rPr>
              <w:t>[Centro/Bairro]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83B6600">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9C4E930">
            <w:pPr>
              <w:spacing w:line="240" w:lineRule="auto"/>
              <w:jc w:val="center"/>
              <w:rPr>
                <w:bCs/>
                <w:color w:val="000000"/>
                <w:sz w:val="16"/>
                <w:szCs w:val="16"/>
              </w:rPr>
            </w:pPr>
            <w:r>
              <w:rPr>
                <w:bCs/>
                <w:color w:val="000000"/>
                <w:sz w:val="16"/>
                <w:szCs w:val="16"/>
              </w:rPr>
              <w:t>2</w:t>
            </w:r>
          </w:p>
        </w:tc>
      </w:tr>
      <w:tr w14:paraId="574C4558">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DF4C1B6">
            <w:pPr>
              <w:spacing w:line="240" w:lineRule="auto"/>
              <w:jc w:val="center"/>
              <w:rPr>
                <w:bCs/>
                <w:color w:val="000000"/>
                <w:sz w:val="16"/>
                <w:szCs w:val="16"/>
              </w:rPr>
            </w:pPr>
            <w:r>
              <w:rPr>
                <w:bCs/>
                <w:color w:val="000000"/>
                <w:sz w:val="16"/>
                <w:szCs w:val="16"/>
              </w:rPr>
              <w:t>13</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1B85E73">
            <w:pPr>
              <w:spacing w:line="240" w:lineRule="auto"/>
              <w:rPr>
                <w:bCs/>
                <w:color w:val="000000"/>
                <w:sz w:val="16"/>
                <w:szCs w:val="16"/>
              </w:rPr>
            </w:pPr>
            <w:r>
              <w:rPr>
                <w:bCs/>
                <w:sz w:val="16"/>
                <w:szCs w:val="16"/>
              </w:rPr>
              <w:t>AV. LIONS INTERNACIONAL, CRUZAMENTO COM</w:t>
            </w:r>
            <w:r>
              <w:rPr>
                <w:bCs/>
                <w:sz w:val="16"/>
                <w:szCs w:val="16"/>
              </w:rPr>
              <w:br w:type="textWrapping"/>
            </w:r>
            <w:r>
              <w:rPr>
                <w:bCs/>
                <w:sz w:val="16"/>
                <w:szCs w:val="16"/>
              </w:rPr>
              <w:t>FERNANDO CORRÊA DA COSTA [Sentido: 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90C51F1">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8B08787">
            <w:pPr>
              <w:spacing w:line="240" w:lineRule="auto"/>
              <w:jc w:val="center"/>
              <w:rPr>
                <w:bCs/>
                <w:color w:val="000000"/>
                <w:sz w:val="16"/>
                <w:szCs w:val="16"/>
              </w:rPr>
            </w:pPr>
            <w:r>
              <w:rPr>
                <w:bCs/>
                <w:color w:val="000000"/>
                <w:sz w:val="16"/>
                <w:szCs w:val="16"/>
              </w:rPr>
              <w:t>2</w:t>
            </w:r>
          </w:p>
        </w:tc>
      </w:tr>
      <w:tr w14:paraId="0B961E75">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40D321D">
            <w:pPr>
              <w:spacing w:line="240" w:lineRule="auto"/>
              <w:jc w:val="center"/>
              <w:rPr>
                <w:bCs/>
                <w:color w:val="000000"/>
                <w:sz w:val="16"/>
                <w:szCs w:val="16"/>
              </w:rPr>
            </w:pPr>
            <w:r>
              <w:rPr>
                <w:bCs/>
                <w:color w:val="000000"/>
                <w:sz w:val="16"/>
                <w:szCs w:val="16"/>
              </w:rPr>
              <w:t>14</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94840A7">
            <w:pPr>
              <w:spacing w:line="240" w:lineRule="auto"/>
              <w:rPr>
                <w:bCs/>
                <w:color w:val="000000"/>
                <w:sz w:val="16"/>
                <w:szCs w:val="16"/>
              </w:rPr>
            </w:pPr>
            <w:r>
              <w:rPr>
                <w:bCs/>
                <w:sz w:val="16"/>
                <w:szCs w:val="16"/>
              </w:rPr>
              <w:t>AV. FERNANDO CORRÊA DA COSTA, CRUZAMENTO COM</w:t>
            </w:r>
            <w:r>
              <w:rPr>
                <w:bCs/>
                <w:sz w:val="16"/>
                <w:szCs w:val="16"/>
              </w:rPr>
              <w:br w:type="textWrapping"/>
            </w:r>
            <w:r>
              <w:rPr>
                <w:bCs/>
                <w:sz w:val="16"/>
                <w:szCs w:val="16"/>
              </w:rPr>
              <w:t>AV. LIONS INTERNACIONAL [Sentido: Centro/Bairro]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3E51066">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5B2E8B5">
            <w:pPr>
              <w:spacing w:line="240" w:lineRule="auto"/>
              <w:jc w:val="center"/>
              <w:rPr>
                <w:bCs/>
                <w:color w:val="000000"/>
                <w:sz w:val="16"/>
                <w:szCs w:val="16"/>
              </w:rPr>
            </w:pPr>
            <w:r>
              <w:rPr>
                <w:bCs/>
                <w:color w:val="000000"/>
                <w:sz w:val="16"/>
                <w:szCs w:val="16"/>
              </w:rPr>
              <w:t>2</w:t>
            </w:r>
          </w:p>
        </w:tc>
      </w:tr>
      <w:tr w14:paraId="7999BB99">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91B128C">
            <w:pPr>
              <w:spacing w:line="240" w:lineRule="auto"/>
              <w:jc w:val="center"/>
              <w:rPr>
                <w:bCs/>
                <w:color w:val="000000"/>
                <w:sz w:val="16"/>
                <w:szCs w:val="16"/>
              </w:rPr>
            </w:pPr>
            <w:r>
              <w:rPr>
                <w:bCs/>
                <w:color w:val="000000"/>
                <w:sz w:val="16"/>
                <w:szCs w:val="16"/>
              </w:rPr>
              <w:t>15</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EA3467F">
            <w:pPr>
              <w:spacing w:line="240" w:lineRule="auto"/>
              <w:rPr>
                <w:bCs/>
                <w:sz w:val="16"/>
                <w:szCs w:val="16"/>
              </w:rPr>
            </w:pPr>
            <w:r>
              <w:rPr>
                <w:bCs/>
                <w:sz w:val="16"/>
                <w:szCs w:val="16"/>
              </w:rPr>
              <w:t>AV. OTAVIANO MUNIZ, ENTROCAMENTO COM AV. FERNANDO CORREA E AV. LIONS INTERNACIONAL</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8D45479">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4B973BC">
            <w:pPr>
              <w:spacing w:line="240" w:lineRule="auto"/>
              <w:jc w:val="center"/>
              <w:rPr>
                <w:bCs/>
                <w:color w:val="000000"/>
                <w:sz w:val="16"/>
                <w:szCs w:val="16"/>
              </w:rPr>
            </w:pPr>
            <w:r>
              <w:rPr>
                <w:bCs/>
                <w:color w:val="000000"/>
                <w:sz w:val="16"/>
                <w:szCs w:val="16"/>
              </w:rPr>
              <w:t>2</w:t>
            </w:r>
          </w:p>
        </w:tc>
      </w:tr>
      <w:tr w14:paraId="06B56A4E">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9BEE7A7">
            <w:pPr>
              <w:spacing w:line="240" w:lineRule="auto"/>
              <w:jc w:val="center"/>
              <w:rPr>
                <w:bCs/>
                <w:color w:val="000000"/>
                <w:sz w:val="16"/>
                <w:szCs w:val="16"/>
              </w:rPr>
            </w:pPr>
            <w:r>
              <w:rPr>
                <w:bCs/>
                <w:color w:val="000000"/>
                <w:sz w:val="16"/>
                <w:szCs w:val="16"/>
              </w:rPr>
              <w:t>16</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BC9A9F0">
            <w:pPr>
              <w:spacing w:line="240" w:lineRule="auto"/>
              <w:rPr>
                <w:bCs/>
                <w:sz w:val="16"/>
                <w:szCs w:val="16"/>
              </w:rPr>
            </w:pPr>
            <w:r>
              <w:rPr>
                <w:bCs/>
                <w:sz w:val="16"/>
                <w:szCs w:val="16"/>
              </w:rPr>
              <w:t>Rua Fernando Correa da Costa X Avenida Dom Wunibaldo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28945D7">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74900EE">
            <w:pPr>
              <w:spacing w:line="240" w:lineRule="auto"/>
              <w:jc w:val="center"/>
              <w:rPr>
                <w:bCs/>
                <w:color w:val="000000"/>
                <w:sz w:val="16"/>
                <w:szCs w:val="16"/>
              </w:rPr>
            </w:pPr>
            <w:r>
              <w:rPr>
                <w:bCs/>
                <w:color w:val="000000"/>
                <w:sz w:val="16"/>
                <w:szCs w:val="16"/>
              </w:rPr>
              <w:t>2</w:t>
            </w:r>
          </w:p>
        </w:tc>
      </w:tr>
      <w:tr w14:paraId="13D61FB0">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8BBDC84">
            <w:pPr>
              <w:spacing w:line="240" w:lineRule="auto"/>
              <w:jc w:val="center"/>
              <w:rPr>
                <w:bCs/>
                <w:color w:val="000000"/>
                <w:sz w:val="16"/>
                <w:szCs w:val="16"/>
              </w:rPr>
            </w:pPr>
            <w:r>
              <w:rPr>
                <w:bCs/>
                <w:color w:val="000000"/>
                <w:sz w:val="16"/>
                <w:szCs w:val="16"/>
              </w:rPr>
              <w:t>17</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A07BE45">
            <w:pPr>
              <w:spacing w:line="240" w:lineRule="auto"/>
              <w:rPr>
                <w:bCs/>
                <w:sz w:val="16"/>
                <w:szCs w:val="16"/>
              </w:rPr>
            </w:pPr>
            <w:r>
              <w:rPr>
                <w:bCs/>
                <w:sz w:val="16"/>
                <w:szCs w:val="16"/>
              </w:rPr>
              <w:t>AVENIDA DOM WUNIBALDO X RUA FERNANDO CORREA DA COSTA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61B42E4">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EE21F44">
            <w:pPr>
              <w:spacing w:line="240" w:lineRule="auto"/>
              <w:jc w:val="center"/>
              <w:rPr>
                <w:bCs/>
                <w:color w:val="000000"/>
                <w:sz w:val="16"/>
                <w:szCs w:val="16"/>
              </w:rPr>
            </w:pPr>
            <w:r>
              <w:rPr>
                <w:bCs/>
                <w:color w:val="000000"/>
                <w:sz w:val="16"/>
                <w:szCs w:val="16"/>
              </w:rPr>
              <w:t>2</w:t>
            </w:r>
          </w:p>
        </w:tc>
      </w:tr>
      <w:tr w14:paraId="06B5DFF3">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88A6E51">
            <w:pPr>
              <w:spacing w:line="240" w:lineRule="auto"/>
              <w:jc w:val="center"/>
              <w:rPr>
                <w:bCs/>
                <w:color w:val="000000"/>
                <w:sz w:val="16"/>
                <w:szCs w:val="16"/>
              </w:rPr>
            </w:pPr>
            <w:r>
              <w:rPr>
                <w:bCs/>
                <w:color w:val="000000"/>
                <w:sz w:val="16"/>
                <w:szCs w:val="16"/>
              </w:rPr>
              <w:t>18</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1B6E8EE">
            <w:pPr>
              <w:spacing w:line="240" w:lineRule="auto"/>
              <w:rPr>
                <w:bCs/>
                <w:sz w:val="16"/>
                <w:szCs w:val="16"/>
              </w:rPr>
            </w:pPr>
            <w:r>
              <w:rPr>
                <w:bCs/>
                <w:sz w:val="16"/>
                <w:szCs w:val="16"/>
              </w:rPr>
              <w:t>RUA FERNANDO CORREA X RUA BANDEIRANTES</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1129B39">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1D9AC5B">
            <w:pPr>
              <w:spacing w:line="240" w:lineRule="auto"/>
              <w:jc w:val="center"/>
              <w:rPr>
                <w:bCs/>
                <w:color w:val="000000"/>
                <w:sz w:val="16"/>
                <w:szCs w:val="16"/>
              </w:rPr>
            </w:pPr>
            <w:r>
              <w:rPr>
                <w:bCs/>
                <w:color w:val="000000"/>
                <w:sz w:val="16"/>
                <w:szCs w:val="16"/>
              </w:rPr>
              <w:t>2</w:t>
            </w:r>
          </w:p>
        </w:tc>
      </w:tr>
      <w:tr w14:paraId="1BEB4218">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A5D2C4C">
            <w:pPr>
              <w:spacing w:line="240" w:lineRule="auto"/>
              <w:jc w:val="center"/>
              <w:rPr>
                <w:bCs/>
                <w:color w:val="000000"/>
                <w:sz w:val="16"/>
                <w:szCs w:val="16"/>
              </w:rPr>
            </w:pPr>
            <w:r>
              <w:rPr>
                <w:bCs/>
                <w:color w:val="000000"/>
                <w:sz w:val="16"/>
                <w:szCs w:val="16"/>
              </w:rPr>
              <w:t>19</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37909DF">
            <w:pPr>
              <w:spacing w:line="240" w:lineRule="auto"/>
              <w:rPr>
                <w:bCs/>
                <w:sz w:val="16"/>
                <w:szCs w:val="16"/>
              </w:rPr>
            </w:pPr>
            <w:r>
              <w:rPr>
                <w:bCs/>
                <w:sz w:val="16"/>
                <w:szCs w:val="16"/>
              </w:rPr>
              <w:t>RUA BANDEIRANTES X RUA FERNANDO DA COSTA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57C7492">
            <w:pPr>
              <w:spacing w:line="240" w:lineRule="auto"/>
              <w:jc w:val="center"/>
              <w:rPr>
                <w:bCs/>
                <w:sz w:val="16"/>
                <w:szCs w:val="16"/>
              </w:rPr>
            </w:pPr>
            <w:r>
              <w:rPr>
                <w:bCs/>
                <w:sz w:val="16"/>
                <w:szCs w:val="16"/>
              </w:rPr>
              <w:t>AVANÇO DE SEMAFORO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290E698">
            <w:pPr>
              <w:spacing w:line="240" w:lineRule="auto"/>
              <w:jc w:val="center"/>
              <w:rPr>
                <w:bCs/>
                <w:color w:val="000000"/>
                <w:sz w:val="16"/>
                <w:szCs w:val="16"/>
              </w:rPr>
            </w:pPr>
            <w:r>
              <w:rPr>
                <w:bCs/>
                <w:color w:val="000000"/>
                <w:sz w:val="16"/>
                <w:szCs w:val="16"/>
              </w:rPr>
              <w:t>2</w:t>
            </w:r>
          </w:p>
        </w:tc>
      </w:tr>
      <w:tr w14:paraId="0D4DEC21">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B534346">
            <w:pPr>
              <w:spacing w:line="240" w:lineRule="auto"/>
              <w:jc w:val="center"/>
              <w:rPr>
                <w:bCs/>
                <w:color w:val="000000"/>
                <w:sz w:val="16"/>
                <w:szCs w:val="16"/>
              </w:rPr>
            </w:pPr>
            <w:r>
              <w:rPr>
                <w:bCs/>
                <w:color w:val="000000"/>
                <w:sz w:val="16"/>
                <w:szCs w:val="16"/>
              </w:rPr>
              <w:t>20</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448A2E1">
            <w:pPr>
              <w:spacing w:line="240" w:lineRule="auto"/>
              <w:rPr>
                <w:bCs/>
                <w:sz w:val="16"/>
                <w:szCs w:val="16"/>
              </w:rPr>
            </w:pPr>
            <w:r>
              <w:rPr>
                <w:bCs/>
                <w:sz w:val="16"/>
                <w:szCs w:val="16"/>
              </w:rPr>
              <w:t>RUA FERNANDO CORREA DA COSTA X AV. PRESIDENTE KENNEDY</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19D7265">
            <w:pPr>
              <w:spacing w:line="240" w:lineRule="auto"/>
              <w:jc w:val="center"/>
              <w:rPr>
                <w:bCs/>
                <w:sz w:val="16"/>
                <w:szCs w:val="16"/>
              </w:rPr>
            </w:pPr>
            <w:r>
              <w:rPr>
                <w:bCs/>
                <w:sz w:val="16"/>
                <w:szCs w:val="16"/>
              </w:rPr>
              <w:t>AVANÇO DE SEMAFORO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03A72AB">
            <w:pPr>
              <w:spacing w:line="240" w:lineRule="auto"/>
              <w:jc w:val="center"/>
              <w:rPr>
                <w:bCs/>
                <w:color w:val="000000"/>
                <w:sz w:val="16"/>
                <w:szCs w:val="16"/>
              </w:rPr>
            </w:pPr>
            <w:r>
              <w:rPr>
                <w:bCs/>
                <w:color w:val="000000"/>
                <w:sz w:val="16"/>
                <w:szCs w:val="16"/>
              </w:rPr>
              <w:t>2</w:t>
            </w:r>
          </w:p>
        </w:tc>
      </w:tr>
      <w:tr w14:paraId="1E5860AA">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16877F2">
            <w:pPr>
              <w:spacing w:line="240" w:lineRule="auto"/>
              <w:jc w:val="center"/>
              <w:rPr>
                <w:bCs/>
                <w:color w:val="000000"/>
                <w:sz w:val="16"/>
                <w:szCs w:val="16"/>
              </w:rPr>
            </w:pPr>
            <w:r>
              <w:rPr>
                <w:bCs/>
                <w:color w:val="000000"/>
                <w:sz w:val="16"/>
                <w:szCs w:val="16"/>
              </w:rPr>
              <w:t>21</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FCE3D1B">
            <w:pPr>
              <w:spacing w:line="240" w:lineRule="auto"/>
              <w:rPr>
                <w:bCs/>
                <w:sz w:val="16"/>
                <w:szCs w:val="16"/>
              </w:rPr>
            </w:pPr>
            <w:r>
              <w:rPr>
                <w:bCs/>
                <w:sz w:val="16"/>
                <w:szCs w:val="16"/>
              </w:rPr>
              <w:t>AV PRESIDENTE KENNEY X RUA FERNANDO CORREA DA COSTA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60B0582">
            <w:pPr>
              <w:spacing w:line="240" w:lineRule="auto"/>
              <w:jc w:val="center"/>
              <w:rPr>
                <w:bCs/>
                <w:sz w:val="16"/>
                <w:szCs w:val="16"/>
              </w:rPr>
            </w:pPr>
            <w:r>
              <w:rPr>
                <w:bCs/>
                <w:sz w:val="16"/>
                <w:szCs w:val="16"/>
              </w:rPr>
              <w:t>AVANÇO DE SEMAFORO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FDF2342">
            <w:pPr>
              <w:spacing w:line="240" w:lineRule="auto"/>
              <w:jc w:val="center"/>
              <w:rPr>
                <w:bCs/>
                <w:color w:val="000000"/>
                <w:sz w:val="16"/>
                <w:szCs w:val="16"/>
              </w:rPr>
            </w:pPr>
            <w:r>
              <w:rPr>
                <w:bCs/>
                <w:color w:val="000000"/>
                <w:sz w:val="16"/>
                <w:szCs w:val="16"/>
              </w:rPr>
              <w:t>2</w:t>
            </w:r>
          </w:p>
        </w:tc>
      </w:tr>
      <w:tr w14:paraId="4EA348A9">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F810A63">
            <w:pPr>
              <w:spacing w:line="240" w:lineRule="auto"/>
              <w:jc w:val="center"/>
              <w:rPr>
                <w:bCs/>
                <w:color w:val="000000"/>
                <w:sz w:val="16"/>
                <w:szCs w:val="16"/>
              </w:rPr>
            </w:pPr>
            <w:r>
              <w:rPr>
                <w:bCs/>
                <w:color w:val="000000"/>
                <w:sz w:val="16"/>
                <w:szCs w:val="16"/>
              </w:rPr>
              <w:t>22</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4784D62">
            <w:pPr>
              <w:spacing w:line="240" w:lineRule="auto"/>
              <w:rPr>
                <w:bCs/>
                <w:sz w:val="16"/>
                <w:szCs w:val="16"/>
              </w:rPr>
            </w:pPr>
            <w:r>
              <w:rPr>
                <w:bCs/>
                <w:sz w:val="16"/>
                <w:szCs w:val="16"/>
              </w:rPr>
              <w:t>AV. XV DE NOVEMBRO X AV TIRADENTES</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63D8524">
            <w:pPr>
              <w:spacing w:line="240" w:lineRule="auto"/>
              <w:jc w:val="center"/>
              <w:rPr>
                <w:bCs/>
                <w:sz w:val="16"/>
                <w:szCs w:val="16"/>
              </w:rPr>
            </w:pPr>
            <w:r>
              <w:rPr>
                <w:bCs/>
                <w:sz w:val="16"/>
                <w:szCs w:val="16"/>
              </w:rPr>
              <w:t>AVANÇO DE SEMAFORO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1297612">
            <w:pPr>
              <w:spacing w:line="240" w:lineRule="auto"/>
              <w:jc w:val="center"/>
              <w:rPr>
                <w:bCs/>
                <w:color w:val="000000"/>
                <w:sz w:val="16"/>
                <w:szCs w:val="16"/>
              </w:rPr>
            </w:pPr>
            <w:r>
              <w:rPr>
                <w:bCs/>
                <w:color w:val="000000"/>
                <w:sz w:val="16"/>
                <w:szCs w:val="16"/>
              </w:rPr>
              <w:t>2</w:t>
            </w:r>
          </w:p>
        </w:tc>
      </w:tr>
      <w:tr w14:paraId="57F110FB">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927571B">
            <w:pPr>
              <w:spacing w:line="240" w:lineRule="auto"/>
              <w:jc w:val="center"/>
              <w:rPr>
                <w:bCs/>
                <w:color w:val="000000"/>
                <w:sz w:val="16"/>
                <w:szCs w:val="16"/>
              </w:rPr>
            </w:pPr>
            <w:r>
              <w:rPr>
                <w:bCs/>
                <w:color w:val="000000"/>
                <w:sz w:val="16"/>
                <w:szCs w:val="16"/>
              </w:rPr>
              <w:t>23</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5458D3D">
            <w:pPr>
              <w:spacing w:line="240" w:lineRule="auto"/>
              <w:rPr>
                <w:bCs/>
                <w:sz w:val="16"/>
                <w:szCs w:val="16"/>
              </w:rPr>
            </w:pPr>
            <w:r>
              <w:rPr>
                <w:bCs/>
                <w:sz w:val="16"/>
                <w:szCs w:val="16"/>
              </w:rPr>
              <w:t>AV. TIRADENTES X AV XV DE NOVEMBRO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8481C3F">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1709AD8">
            <w:pPr>
              <w:spacing w:line="240" w:lineRule="auto"/>
              <w:jc w:val="center"/>
              <w:rPr>
                <w:bCs/>
                <w:color w:val="000000"/>
                <w:sz w:val="16"/>
                <w:szCs w:val="16"/>
              </w:rPr>
            </w:pPr>
            <w:r>
              <w:rPr>
                <w:bCs/>
                <w:color w:val="000000"/>
                <w:sz w:val="16"/>
                <w:szCs w:val="16"/>
              </w:rPr>
              <w:t>2</w:t>
            </w:r>
          </w:p>
        </w:tc>
      </w:tr>
      <w:tr w14:paraId="14FE9CA9">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6255615">
            <w:pPr>
              <w:spacing w:line="240" w:lineRule="auto"/>
              <w:jc w:val="center"/>
              <w:rPr>
                <w:bCs/>
                <w:color w:val="000000"/>
                <w:sz w:val="16"/>
                <w:szCs w:val="16"/>
              </w:rPr>
            </w:pPr>
            <w:r>
              <w:rPr>
                <w:bCs/>
                <w:color w:val="000000"/>
                <w:sz w:val="16"/>
                <w:szCs w:val="16"/>
              </w:rPr>
              <w:t>24</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1645452">
            <w:pPr>
              <w:spacing w:line="240" w:lineRule="auto"/>
              <w:rPr>
                <w:bCs/>
                <w:sz w:val="16"/>
                <w:szCs w:val="16"/>
              </w:rPr>
            </w:pPr>
            <w:r>
              <w:rPr>
                <w:bCs/>
                <w:sz w:val="16"/>
                <w:szCs w:val="16"/>
              </w:rPr>
              <w:t>RUA FRANCISCO FELIX x AV BANDEIRANTES</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103AED3">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55690D1">
            <w:pPr>
              <w:spacing w:line="240" w:lineRule="auto"/>
              <w:jc w:val="center"/>
              <w:rPr>
                <w:bCs/>
                <w:color w:val="000000"/>
                <w:sz w:val="16"/>
                <w:szCs w:val="16"/>
              </w:rPr>
            </w:pPr>
            <w:r>
              <w:rPr>
                <w:bCs/>
                <w:color w:val="000000"/>
                <w:sz w:val="16"/>
                <w:szCs w:val="16"/>
              </w:rPr>
              <w:t>2</w:t>
            </w:r>
          </w:p>
        </w:tc>
      </w:tr>
      <w:tr w14:paraId="47B1C3FE">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6CCC741">
            <w:pPr>
              <w:spacing w:line="240" w:lineRule="auto"/>
              <w:jc w:val="center"/>
              <w:rPr>
                <w:bCs/>
                <w:color w:val="000000"/>
                <w:sz w:val="16"/>
                <w:szCs w:val="16"/>
              </w:rPr>
            </w:pPr>
            <w:r>
              <w:rPr>
                <w:bCs/>
                <w:color w:val="000000"/>
                <w:sz w:val="16"/>
                <w:szCs w:val="16"/>
              </w:rPr>
              <w:t>25</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904C381">
            <w:pPr>
              <w:spacing w:line="240" w:lineRule="auto"/>
              <w:rPr>
                <w:bCs/>
                <w:sz w:val="16"/>
                <w:szCs w:val="16"/>
              </w:rPr>
            </w:pPr>
            <w:r>
              <w:rPr>
                <w:bCs/>
                <w:sz w:val="16"/>
                <w:szCs w:val="16"/>
              </w:rPr>
              <w:t>AV. TIRADENTES X RUA FRACISCO FELIX</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6CD2339">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6CD292F">
            <w:pPr>
              <w:spacing w:line="240" w:lineRule="auto"/>
              <w:jc w:val="center"/>
              <w:rPr>
                <w:bCs/>
                <w:color w:val="000000"/>
                <w:sz w:val="16"/>
                <w:szCs w:val="16"/>
              </w:rPr>
            </w:pPr>
            <w:r>
              <w:rPr>
                <w:bCs/>
                <w:color w:val="000000"/>
                <w:sz w:val="16"/>
                <w:szCs w:val="16"/>
              </w:rPr>
              <w:t>3</w:t>
            </w:r>
          </w:p>
        </w:tc>
      </w:tr>
      <w:tr w14:paraId="1CB91509">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9B8D1E6">
            <w:pPr>
              <w:spacing w:line="240" w:lineRule="auto"/>
              <w:jc w:val="center"/>
              <w:rPr>
                <w:bCs/>
                <w:color w:val="000000"/>
                <w:sz w:val="16"/>
                <w:szCs w:val="16"/>
              </w:rPr>
            </w:pPr>
            <w:r>
              <w:rPr>
                <w:bCs/>
                <w:color w:val="000000"/>
                <w:sz w:val="16"/>
                <w:szCs w:val="16"/>
              </w:rPr>
              <w:t>26</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2592A3E">
            <w:pPr>
              <w:spacing w:line="240" w:lineRule="auto"/>
              <w:rPr>
                <w:bCs/>
                <w:sz w:val="16"/>
                <w:szCs w:val="16"/>
              </w:rPr>
            </w:pPr>
            <w:r>
              <w:rPr>
                <w:bCs/>
                <w:sz w:val="16"/>
                <w:szCs w:val="16"/>
              </w:rPr>
              <w:t>RUA JOSÉ BARRIGA X AV. TIRADENTES</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1B63D28">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754D696">
            <w:pPr>
              <w:spacing w:line="240" w:lineRule="auto"/>
              <w:jc w:val="center"/>
              <w:rPr>
                <w:bCs/>
                <w:color w:val="000000"/>
                <w:sz w:val="16"/>
                <w:szCs w:val="16"/>
              </w:rPr>
            </w:pPr>
            <w:r>
              <w:rPr>
                <w:bCs/>
                <w:color w:val="000000"/>
                <w:sz w:val="16"/>
                <w:szCs w:val="16"/>
              </w:rPr>
              <w:t>2</w:t>
            </w:r>
          </w:p>
        </w:tc>
      </w:tr>
      <w:tr w14:paraId="0A32089D">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368AAE7">
            <w:pPr>
              <w:spacing w:line="240" w:lineRule="auto"/>
              <w:jc w:val="center"/>
              <w:rPr>
                <w:bCs/>
                <w:color w:val="000000"/>
                <w:sz w:val="16"/>
                <w:szCs w:val="16"/>
              </w:rPr>
            </w:pPr>
            <w:r>
              <w:rPr>
                <w:bCs/>
                <w:color w:val="000000"/>
                <w:sz w:val="16"/>
                <w:szCs w:val="16"/>
              </w:rPr>
              <w:t>27</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1710EF9">
            <w:pPr>
              <w:spacing w:line="240" w:lineRule="auto"/>
              <w:rPr>
                <w:bCs/>
                <w:sz w:val="16"/>
                <w:szCs w:val="16"/>
              </w:rPr>
            </w:pPr>
            <w:r>
              <w:rPr>
                <w:bCs/>
                <w:sz w:val="16"/>
                <w:szCs w:val="16"/>
              </w:rPr>
              <w:t>AV. AEROPORTO X RUA JOÃO PONCEDE ARRUDA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95842FE">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A0EF0A0">
            <w:pPr>
              <w:spacing w:line="240" w:lineRule="auto"/>
              <w:jc w:val="center"/>
              <w:rPr>
                <w:bCs/>
                <w:color w:val="000000"/>
                <w:sz w:val="16"/>
                <w:szCs w:val="16"/>
              </w:rPr>
            </w:pPr>
            <w:r>
              <w:rPr>
                <w:bCs/>
                <w:color w:val="000000"/>
                <w:sz w:val="16"/>
                <w:szCs w:val="16"/>
              </w:rPr>
              <w:t>2</w:t>
            </w:r>
          </w:p>
        </w:tc>
      </w:tr>
      <w:tr w14:paraId="7A3938DE">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C812462">
            <w:pPr>
              <w:spacing w:line="240" w:lineRule="auto"/>
              <w:jc w:val="center"/>
              <w:rPr>
                <w:bCs/>
                <w:color w:val="000000"/>
                <w:sz w:val="16"/>
                <w:szCs w:val="16"/>
              </w:rPr>
            </w:pPr>
            <w:r>
              <w:rPr>
                <w:bCs/>
                <w:color w:val="000000"/>
                <w:sz w:val="16"/>
                <w:szCs w:val="16"/>
              </w:rPr>
              <w:t>28</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15DAA07">
            <w:pPr>
              <w:spacing w:line="240" w:lineRule="auto"/>
              <w:rPr>
                <w:bCs/>
                <w:sz w:val="16"/>
                <w:szCs w:val="16"/>
              </w:rPr>
            </w:pPr>
            <w:r>
              <w:rPr>
                <w:bCs/>
                <w:sz w:val="16"/>
                <w:szCs w:val="16"/>
              </w:rPr>
              <w:t>AV. MARECHAL RONDON X RUA JOSÉ BARRIGA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150B3FF">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016153A">
            <w:pPr>
              <w:spacing w:line="240" w:lineRule="auto"/>
              <w:jc w:val="center"/>
              <w:rPr>
                <w:bCs/>
                <w:color w:val="000000"/>
                <w:sz w:val="16"/>
                <w:szCs w:val="16"/>
              </w:rPr>
            </w:pPr>
            <w:r>
              <w:rPr>
                <w:bCs/>
                <w:color w:val="000000"/>
                <w:sz w:val="16"/>
                <w:szCs w:val="16"/>
              </w:rPr>
              <w:t>3</w:t>
            </w:r>
          </w:p>
        </w:tc>
      </w:tr>
      <w:tr w14:paraId="747625E5">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047A4F2">
            <w:pPr>
              <w:spacing w:line="240" w:lineRule="auto"/>
              <w:jc w:val="center"/>
              <w:rPr>
                <w:bCs/>
                <w:color w:val="000000"/>
                <w:sz w:val="16"/>
                <w:szCs w:val="16"/>
              </w:rPr>
            </w:pPr>
            <w:r>
              <w:rPr>
                <w:bCs/>
                <w:color w:val="000000"/>
                <w:sz w:val="16"/>
                <w:szCs w:val="16"/>
              </w:rPr>
              <w:t>29</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78F9AF9">
            <w:pPr>
              <w:spacing w:line="240" w:lineRule="auto"/>
              <w:rPr>
                <w:bCs/>
                <w:sz w:val="16"/>
                <w:szCs w:val="16"/>
              </w:rPr>
            </w:pPr>
            <w:r>
              <w:rPr>
                <w:bCs/>
                <w:sz w:val="16"/>
                <w:szCs w:val="16"/>
              </w:rPr>
              <w:t>AV. BANDEIRANTES X AV. AFONSO PENA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B39321A">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C43EA09">
            <w:pPr>
              <w:spacing w:line="240" w:lineRule="auto"/>
              <w:jc w:val="center"/>
              <w:rPr>
                <w:bCs/>
                <w:color w:val="000000"/>
                <w:sz w:val="16"/>
                <w:szCs w:val="16"/>
              </w:rPr>
            </w:pPr>
            <w:r>
              <w:rPr>
                <w:bCs/>
                <w:color w:val="000000"/>
                <w:sz w:val="16"/>
                <w:szCs w:val="16"/>
              </w:rPr>
              <w:t>2</w:t>
            </w:r>
          </w:p>
        </w:tc>
      </w:tr>
      <w:tr w14:paraId="3B4F5C2A">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398BF18">
            <w:pPr>
              <w:spacing w:line="240" w:lineRule="auto"/>
              <w:jc w:val="center"/>
              <w:rPr>
                <w:bCs/>
                <w:color w:val="000000"/>
                <w:sz w:val="16"/>
                <w:szCs w:val="16"/>
              </w:rPr>
            </w:pPr>
            <w:r>
              <w:rPr>
                <w:bCs/>
                <w:color w:val="000000"/>
                <w:sz w:val="16"/>
                <w:szCs w:val="16"/>
              </w:rPr>
              <w:t>30</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5E7F421">
            <w:pPr>
              <w:spacing w:line="240" w:lineRule="auto"/>
              <w:rPr>
                <w:bCs/>
                <w:sz w:val="16"/>
                <w:szCs w:val="16"/>
              </w:rPr>
            </w:pPr>
            <w:r>
              <w:rPr>
                <w:bCs/>
                <w:sz w:val="16"/>
                <w:szCs w:val="16"/>
              </w:rPr>
              <w:t>AV. FREI SERVÁCIO X RUA BARÃO DO RIO BRANCO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E8D6BEE">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272706A">
            <w:pPr>
              <w:spacing w:line="240" w:lineRule="auto"/>
              <w:jc w:val="center"/>
              <w:rPr>
                <w:bCs/>
                <w:color w:val="000000"/>
                <w:sz w:val="16"/>
                <w:szCs w:val="16"/>
              </w:rPr>
            </w:pPr>
            <w:r>
              <w:rPr>
                <w:bCs/>
                <w:color w:val="000000"/>
                <w:sz w:val="16"/>
                <w:szCs w:val="16"/>
              </w:rPr>
              <w:t>2</w:t>
            </w:r>
          </w:p>
        </w:tc>
      </w:tr>
      <w:tr w14:paraId="2EF09580">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E8F7FF0">
            <w:pPr>
              <w:spacing w:line="240" w:lineRule="auto"/>
              <w:jc w:val="center"/>
              <w:rPr>
                <w:bCs/>
                <w:color w:val="000000"/>
                <w:sz w:val="16"/>
                <w:szCs w:val="16"/>
              </w:rPr>
            </w:pPr>
            <w:r>
              <w:rPr>
                <w:bCs/>
                <w:color w:val="000000"/>
                <w:sz w:val="16"/>
                <w:szCs w:val="16"/>
              </w:rPr>
              <w:t>31</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22BFB5F">
            <w:pPr>
              <w:spacing w:line="240" w:lineRule="auto"/>
              <w:rPr>
                <w:bCs/>
                <w:sz w:val="16"/>
                <w:szCs w:val="16"/>
              </w:rPr>
            </w:pPr>
            <w:r>
              <w:rPr>
                <w:bCs/>
                <w:sz w:val="16"/>
                <w:szCs w:val="16"/>
              </w:rPr>
              <w:t>RUA BARÃO DO RIO BRANCO X AV. FREI SERVÁCIO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C57359E">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8B0BA86">
            <w:pPr>
              <w:spacing w:line="240" w:lineRule="auto"/>
              <w:jc w:val="center"/>
              <w:rPr>
                <w:bCs/>
                <w:color w:val="000000"/>
                <w:sz w:val="16"/>
                <w:szCs w:val="16"/>
              </w:rPr>
            </w:pPr>
            <w:r>
              <w:rPr>
                <w:bCs/>
                <w:color w:val="000000"/>
                <w:sz w:val="16"/>
                <w:szCs w:val="16"/>
              </w:rPr>
              <w:t>3</w:t>
            </w:r>
          </w:p>
        </w:tc>
      </w:tr>
      <w:tr w14:paraId="4644A14E">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EA41BDA">
            <w:pPr>
              <w:spacing w:line="240" w:lineRule="auto"/>
              <w:jc w:val="center"/>
              <w:rPr>
                <w:bCs/>
                <w:color w:val="000000"/>
                <w:sz w:val="16"/>
                <w:szCs w:val="16"/>
              </w:rPr>
            </w:pPr>
            <w:r>
              <w:rPr>
                <w:bCs/>
                <w:color w:val="000000"/>
                <w:sz w:val="16"/>
                <w:szCs w:val="16"/>
              </w:rPr>
              <w:t>32</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8CD578E">
            <w:pPr>
              <w:spacing w:line="240" w:lineRule="auto"/>
              <w:rPr>
                <w:bCs/>
                <w:sz w:val="16"/>
                <w:szCs w:val="16"/>
              </w:rPr>
            </w:pPr>
            <w:r>
              <w:rPr>
                <w:bCs/>
                <w:sz w:val="16"/>
                <w:szCs w:val="16"/>
              </w:rPr>
              <w:t>RUA OTÁVIO PITALUGA X AV. FREI SERVÁCIO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8A4C8DD">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4BA9DCD">
            <w:pPr>
              <w:spacing w:line="240" w:lineRule="auto"/>
              <w:jc w:val="center"/>
              <w:rPr>
                <w:bCs/>
                <w:color w:val="000000"/>
                <w:sz w:val="16"/>
                <w:szCs w:val="16"/>
              </w:rPr>
            </w:pPr>
            <w:r>
              <w:rPr>
                <w:bCs/>
                <w:color w:val="000000"/>
                <w:sz w:val="16"/>
                <w:szCs w:val="16"/>
              </w:rPr>
              <w:t>2</w:t>
            </w:r>
          </w:p>
        </w:tc>
      </w:tr>
      <w:tr w14:paraId="4D436695">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1ED1363">
            <w:pPr>
              <w:spacing w:line="240" w:lineRule="auto"/>
              <w:jc w:val="center"/>
              <w:rPr>
                <w:bCs/>
                <w:color w:val="000000"/>
                <w:sz w:val="16"/>
                <w:szCs w:val="16"/>
              </w:rPr>
            </w:pPr>
            <w:r>
              <w:rPr>
                <w:bCs/>
                <w:color w:val="000000"/>
                <w:sz w:val="16"/>
                <w:szCs w:val="16"/>
              </w:rPr>
              <w:t>33</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F0DA5F1">
            <w:pPr>
              <w:spacing w:line="240" w:lineRule="auto"/>
              <w:rPr>
                <w:bCs/>
                <w:sz w:val="16"/>
                <w:szCs w:val="16"/>
              </w:rPr>
            </w:pPr>
            <w:r>
              <w:rPr>
                <w:bCs/>
                <w:sz w:val="16"/>
                <w:szCs w:val="16"/>
              </w:rPr>
              <w:t>AV. TIRADENTES X RUA BARÃO DO RIO BRANCO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9A3D463">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D179888">
            <w:pPr>
              <w:spacing w:line="240" w:lineRule="auto"/>
              <w:jc w:val="center"/>
              <w:rPr>
                <w:bCs/>
                <w:color w:val="000000"/>
                <w:sz w:val="16"/>
                <w:szCs w:val="16"/>
              </w:rPr>
            </w:pPr>
            <w:r>
              <w:rPr>
                <w:bCs/>
                <w:color w:val="000000"/>
                <w:sz w:val="16"/>
                <w:szCs w:val="16"/>
              </w:rPr>
              <w:t>2</w:t>
            </w:r>
          </w:p>
        </w:tc>
      </w:tr>
      <w:tr w14:paraId="75BFBF23">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DC33F6B">
            <w:pPr>
              <w:spacing w:line="240" w:lineRule="auto"/>
              <w:jc w:val="center"/>
              <w:rPr>
                <w:bCs/>
                <w:color w:val="000000"/>
                <w:sz w:val="16"/>
                <w:szCs w:val="16"/>
              </w:rPr>
            </w:pPr>
            <w:r>
              <w:rPr>
                <w:bCs/>
                <w:color w:val="000000"/>
                <w:sz w:val="16"/>
                <w:szCs w:val="16"/>
              </w:rPr>
              <w:t>34</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664A4D1">
            <w:pPr>
              <w:spacing w:line="240" w:lineRule="auto"/>
              <w:rPr>
                <w:bCs/>
                <w:sz w:val="16"/>
                <w:szCs w:val="16"/>
              </w:rPr>
            </w:pPr>
            <w:r>
              <w:rPr>
                <w:bCs/>
                <w:sz w:val="16"/>
                <w:szCs w:val="16"/>
              </w:rPr>
              <w:t>RUA FERNANDO CORREIA DA COSTA X AV. PRESIDENTE KENNEDY</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E13C190">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6F590C5">
            <w:pPr>
              <w:spacing w:line="240" w:lineRule="auto"/>
              <w:jc w:val="center"/>
              <w:rPr>
                <w:bCs/>
                <w:color w:val="000000"/>
                <w:sz w:val="16"/>
                <w:szCs w:val="16"/>
              </w:rPr>
            </w:pPr>
            <w:r>
              <w:rPr>
                <w:bCs/>
                <w:color w:val="000000"/>
                <w:sz w:val="16"/>
                <w:szCs w:val="16"/>
              </w:rPr>
              <w:t>4</w:t>
            </w:r>
          </w:p>
        </w:tc>
      </w:tr>
      <w:tr w14:paraId="29349AA4">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8149F4B">
            <w:pPr>
              <w:spacing w:line="240" w:lineRule="auto"/>
              <w:jc w:val="center"/>
              <w:rPr>
                <w:bCs/>
                <w:color w:val="000000"/>
                <w:sz w:val="16"/>
                <w:szCs w:val="16"/>
              </w:rPr>
            </w:pPr>
            <w:r>
              <w:rPr>
                <w:bCs/>
                <w:color w:val="000000"/>
                <w:sz w:val="16"/>
                <w:szCs w:val="16"/>
              </w:rPr>
              <w:t>35</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A2FEA92">
            <w:pPr>
              <w:spacing w:line="240" w:lineRule="auto"/>
              <w:rPr>
                <w:bCs/>
                <w:sz w:val="16"/>
                <w:szCs w:val="16"/>
              </w:rPr>
            </w:pPr>
            <w:r>
              <w:rPr>
                <w:bCs/>
                <w:sz w:val="16"/>
                <w:szCs w:val="16"/>
              </w:rPr>
              <w:t>RUA ROSA BORRO AV. PRESIDENTE KENNEDY</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B46B337">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32560618">
            <w:pPr>
              <w:spacing w:line="240" w:lineRule="auto"/>
              <w:jc w:val="center"/>
              <w:rPr>
                <w:bCs/>
                <w:color w:val="000000"/>
                <w:sz w:val="16"/>
                <w:szCs w:val="16"/>
              </w:rPr>
            </w:pPr>
            <w:r>
              <w:rPr>
                <w:bCs/>
                <w:color w:val="000000"/>
                <w:sz w:val="16"/>
                <w:szCs w:val="16"/>
              </w:rPr>
              <w:t>2</w:t>
            </w:r>
          </w:p>
        </w:tc>
      </w:tr>
      <w:tr w14:paraId="41A0F7C8">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21D49D6">
            <w:pPr>
              <w:spacing w:line="240" w:lineRule="auto"/>
              <w:jc w:val="center"/>
              <w:rPr>
                <w:bCs/>
                <w:color w:val="000000"/>
                <w:sz w:val="16"/>
                <w:szCs w:val="16"/>
              </w:rPr>
            </w:pPr>
            <w:r>
              <w:rPr>
                <w:bCs/>
                <w:color w:val="000000"/>
                <w:sz w:val="16"/>
                <w:szCs w:val="16"/>
              </w:rPr>
              <w:t>36</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8A682CB">
            <w:pPr>
              <w:spacing w:line="240" w:lineRule="auto"/>
              <w:rPr>
                <w:bCs/>
                <w:sz w:val="16"/>
                <w:szCs w:val="16"/>
              </w:rPr>
            </w:pPr>
            <w:r>
              <w:rPr>
                <w:bCs/>
                <w:sz w:val="16"/>
                <w:szCs w:val="16"/>
              </w:rPr>
              <w:t>AV. DOM WUNIBALDO X RUA FERNANDO CORRÊA DA COSTA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6F45660">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6A2764C">
            <w:pPr>
              <w:spacing w:line="240" w:lineRule="auto"/>
              <w:jc w:val="center"/>
              <w:rPr>
                <w:bCs/>
                <w:color w:val="000000"/>
                <w:sz w:val="16"/>
                <w:szCs w:val="16"/>
              </w:rPr>
            </w:pPr>
            <w:r>
              <w:rPr>
                <w:bCs/>
                <w:color w:val="000000"/>
                <w:sz w:val="16"/>
                <w:szCs w:val="16"/>
              </w:rPr>
              <w:t>2</w:t>
            </w:r>
          </w:p>
        </w:tc>
      </w:tr>
      <w:tr w14:paraId="2CB06B01">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74E9A02">
            <w:pPr>
              <w:spacing w:line="240" w:lineRule="auto"/>
              <w:jc w:val="center"/>
              <w:rPr>
                <w:bCs/>
                <w:color w:val="000000"/>
                <w:sz w:val="16"/>
                <w:szCs w:val="16"/>
              </w:rPr>
            </w:pPr>
            <w:r>
              <w:rPr>
                <w:bCs/>
                <w:color w:val="000000"/>
                <w:sz w:val="16"/>
                <w:szCs w:val="16"/>
              </w:rPr>
              <w:t>37</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D771D35">
            <w:pPr>
              <w:spacing w:line="240" w:lineRule="auto"/>
              <w:rPr>
                <w:bCs/>
                <w:sz w:val="16"/>
                <w:szCs w:val="16"/>
              </w:rPr>
            </w:pPr>
            <w:r>
              <w:rPr>
                <w:bCs/>
                <w:sz w:val="16"/>
                <w:szCs w:val="16"/>
              </w:rPr>
              <w:t>AV. MARECHAL RONDON X RUA BARÃO DO RIO BRANCO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DA87C54">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3B688F2">
            <w:pPr>
              <w:spacing w:line="240" w:lineRule="auto"/>
              <w:jc w:val="center"/>
              <w:rPr>
                <w:bCs/>
                <w:color w:val="000000"/>
                <w:sz w:val="16"/>
                <w:szCs w:val="16"/>
              </w:rPr>
            </w:pPr>
            <w:r>
              <w:rPr>
                <w:bCs/>
                <w:color w:val="000000"/>
                <w:sz w:val="16"/>
                <w:szCs w:val="16"/>
              </w:rPr>
              <w:t>3</w:t>
            </w:r>
          </w:p>
        </w:tc>
      </w:tr>
      <w:tr w14:paraId="52943715">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705DCF5">
            <w:pPr>
              <w:spacing w:line="240" w:lineRule="auto"/>
              <w:jc w:val="center"/>
              <w:rPr>
                <w:bCs/>
                <w:color w:val="000000"/>
                <w:sz w:val="16"/>
                <w:szCs w:val="16"/>
              </w:rPr>
            </w:pPr>
            <w:r>
              <w:rPr>
                <w:bCs/>
                <w:color w:val="000000"/>
                <w:sz w:val="16"/>
                <w:szCs w:val="16"/>
              </w:rPr>
              <w:t>38</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6FA6372">
            <w:pPr>
              <w:spacing w:line="240" w:lineRule="auto"/>
              <w:rPr>
                <w:bCs/>
                <w:sz w:val="16"/>
                <w:szCs w:val="16"/>
              </w:rPr>
            </w:pPr>
            <w:r>
              <w:rPr>
                <w:bCs/>
                <w:sz w:val="16"/>
                <w:szCs w:val="16"/>
              </w:rPr>
              <w:t>RUA BARÃO DO RIO BRANCO X AV. MARECHAL RONDON</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EC5C7FB">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495D189">
            <w:pPr>
              <w:spacing w:line="240" w:lineRule="auto"/>
              <w:jc w:val="center"/>
              <w:rPr>
                <w:bCs/>
                <w:color w:val="000000"/>
                <w:sz w:val="16"/>
                <w:szCs w:val="16"/>
              </w:rPr>
            </w:pPr>
            <w:r>
              <w:rPr>
                <w:bCs/>
                <w:color w:val="000000"/>
                <w:sz w:val="16"/>
                <w:szCs w:val="16"/>
              </w:rPr>
              <w:t>2</w:t>
            </w:r>
          </w:p>
        </w:tc>
      </w:tr>
      <w:tr w14:paraId="76FD3ACD">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B11F0F4">
            <w:pPr>
              <w:spacing w:line="240" w:lineRule="auto"/>
              <w:jc w:val="center"/>
              <w:rPr>
                <w:bCs/>
                <w:color w:val="000000"/>
                <w:sz w:val="16"/>
                <w:szCs w:val="16"/>
              </w:rPr>
            </w:pPr>
            <w:r>
              <w:rPr>
                <w:bCs/>
                <w:color w:val="000000"/>
                <w:sz w:val="16"/>
                <w:szCs w:val="16"/>
              </w:rPr>
              <w:t>39</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A558FB1">
            <w:pPr>
              <w:spacing w:line="240" w:lineRule="auto"/>
              <w:rPr>
                <w:bCs/>
                <w:sz w:val="16"/>
                <w:szCs w:val="16"/>
              </w:rPr>
            </w:pPr>
            <w:r>
              <w:rPr>
                <w:bCs/>
                <w:sz w:val="16"/>
                <w:szCs w:val="16"/>
              </w:rPr>
              <w:t>RUA JOSÉ BARRIGA X AV. FREI SERVÁCIO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F7644FA">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7411631">
            <w:pPr>
              <w:spacing w:line="240" w:lineRule="auto"/>
              <w:jc w:val="center"/>
              <w:rPr>
                <w:bCs/>
                <w:color w:val="000000"/>
                <w:sz w:val="16"/>
                <w:szCs w:val="16"/>
              </w:rPr>
            </w:pPr>
            <w:r>
              <w:rPr>
                <w:bCs/>
                <w:color w:val="000000"/>
                <w:sz w:val="16"/>
                <w:szCs w:val="16"/>
              </w:rPr>
              <w:t>3</w:t>
            </w:r>
          </w:p>
        </w:tc>
      </w:tr>
      <w:tr w14:paraId="0F4D2AFD">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BC5C4FA">
            <w:pPr>
              <w:spacing w:line="240" w:lineRule="auto"/>
              <w:jc w:val="center"/>
              <w:rPr>
                <w:bCs/>
                <w:color w:val="000000"/>
                <w:sz w:val="16"/>
                <w:szCs w:val="16"/>
              </w:rPr>
            </w:pPr>
            <w:r>
              <w:rPr>
                <w:bCs/>
                <w:color w:val="000000"/>
                <w:sz w:val="16"/>
                <w:szCs w:val="16"/>
              </w:rPr>
              <w:t>40</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D22AA6D">
            <w:pPr>
              <w:spacing w:line="240" w:lineRule="auto"/>
              <w:rPr>
                <w:bCs/>
                <w:sz w:val="16"/>
                <w:szCs w:val="16"/>
              </w:rPr>
            </w:pPr>
            <w:r>
              <w:rPr>
                <w:bCs/>
                <w:sz w:val="16"/>
                <w:szCs w:val="16"/>
              </w:rPr>
              <w:t>RUA PRES. CASTELO BRANCO X RUA JOSÉ BARRIGA</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5F0D7F6">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399D355">
            <w:pPr>
              <w:spacing w:line="240" w:lineRule="auto"/>
              <w:jc w:val="center"/>
              <w:rPr>
                <w:bCs/>
                <w:color w:val="000000"/>
                <w:sz w:val="16"/>
                <w:szCs w:val="16"/>
              </w:rPr>
            </w:pPr>
            <w:r>
              <w:rPr>
                <w:bCs/>
                <w:color w:val="000000"/>
                <w:sz w:val="16"/>
                <w:szCs w:val="16"/>
              </w:rPr>
              <w:t>4</w:t>
            </w:r>
          </w:p>
        </w:tc>
      </w:tr>
      <w:tr w14:paraId="3863E1BD">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1E76EDD9">
            <w:pPr>
              <w:spacing w:line="240" w:lineRule="auto"/>
              <w:jc w:val="center"/>
              <w:rPr>
                <w:bCs/>
                <w:color w:val="000000"/>
                <w:sz w:val="16"/>
                <w:szCs w:val="16"/>
              </w:rPr>
            </w:pPr>
            <w:r>
              <w:rPr>
                <w:bCs/>
                <w:color w:val="000000"/>
                <w:sz w:val="16"/>
                <w:szCs w:val="16"/>
              </w:rPr>
              <w:t>41</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538F71AD">
            <w:pPr>
              <w:spacing w:line="240" w:lineRule="auto"/>
              <w:rPr>
                <w:bCs/>
                <w:sz w:val="16"/>
                <w:szCs w:val="16"/>
              </w:rPr>
            </w:pPr>
            <w:r>
              <w:rPr>
                <w:bCs/>
                <w:sz w:val="16"/>
                <w:szCs w:val="16"/>
              </w:rPr>
              <w:t>RUA JOSÉ BARRIGA X RUA PRES. CASTELO BRANCO</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4108DD81">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0C2667AC">
            <w:pPr>
              <w:spacing w:line="240" w:lineRule="auto"/>
              <w:jc w:val="center"/>
              <w:rPr>
                <w:bCs/>
                <w:color w:val="000000"/>
                <w:sz w:val="16"/>
                <w:szCs w:val="16"/>
              </w:rPr>
            </w:pPr>
            <w:r>
              <w:rPr>
                <w:bCs/>
                <w:color w:val="000000"/>
                <w:sz w:val="16"/>
                <w:szCs w:val="16"/>
              </w:rPr>
              <w:t>2</w:t>
            </w:r>
          </w:p>
        </w:tc>
      </w:tr>
      <w:tr w14:paraId="36920B6C">
        <w:tblPrEx>
          <w:tblCellMar>
            <w:top w:w="0" w:type="dxa"/>
            <w:left w:w="70" w:type="dxa"/>
            <w:bottom w:w="0" w:type="dxa"/>
            <w:right w:w="70" w:type="dxa"/>
          </w:tblCellMar>
        </w:tblPrEx>
        <w:trPr>
          <w:trHeight w:val="66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AD7E899">
            <w:pPr>
              <w:spacing w:line="240" w:lineRule="auto"/>
              <w:jc w:val="center"/>
              <w:rPr>
                <w:bCs/>
                <w:color w:val="000000"/>
                <w:sz w:val="16"/>
                <w:szCs w:val="16"/>
              </w:rPr>
            </w:pPr>
            <w:r>
              <w:rPr>
                <w:bCs/>
                <w:color w:val="000000"/>
                <w:sz w:val="16"/>
                <w:szCs w:val="16"/>
              </w:rPr>
              <w:t>42</w:t>
            </w:r>
          </w:p>
        </w:tc>
        <w:tc>
          <w:tcPr>
            <w:tcW w:w="5788" w:type="dxa"/>
            <w:gridSpan w:val="2"/>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780326B8">
            <w:pPr>
              <w:spacing w:line="240" w:lineRule="auto"/>
              <w:rPr>
                <w:bCs/>
                <w:sz w:val="16"/>
                <w:szCs w:val="16"/>
              </w:rPr>
            </w:pPr>
            <w:r>
              <w:rPr>
                <w:bCs/>
                <w:sz w:val="16"/>
                <w:szCs w:val="16"/>
              </w:rPr>
              <w:t>AV. GOIANIA X AV. PLINIO AGUIAR C/B</w:t>
            </w:r>
          </w:p>
        </w:tc>
        <w:tc>
          <w:tcPr>
            <w:tcW w:w="1418"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2BF16BD6">
            <w:pPr>
              <w:spacing w:line="240" w:lineRule="auto"/>
              <w:jc w:val="center"/>
              <w:rPr>
                <w:bCs/>
                <w:sz w:val="16"/>
                <w:szCs w:val="16"/>
              </w:rPr>
            </w:pPr>
            <w:r>
              <w:rPr>
                <w:bCs/>
                <w:sz w:val="16"/>
                <w:szCs w:val="16"/>
              </w:rPr>
              <w:t>AVANÇO DE SEMÁFORO</w:t>
            </w:r>
          </w:p>
        </w:tc>
        <w:tc>
          <w:tcPr>
            <w:tcW w:w="1134"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14:paraId="67C2C87B">
            <w:pPr>
              <w:spacing w:line="240" w:lineRule="auto"/>
              <w:jc w:val="center"/>
              <w:rPr>
                <w:bCs/>
                <w:color w:val="000000"/>
                <w:sz w:val="16"/>
                <w:szCs w:val="16"/>
              </w:rPr>
            </w:pPr>
            <w:r>
              <w:rPr>
                <w:bCs/>
                <w:color w:val="000000"/>
                <w:sz w:val="16"/>
                <w:szCs w:val="16"/>
              </w:rPr>
              <w:t>1</w:t>
            </w:r>
          </w:p>
        </w:tc>
      </w:tr>
      <w:tr w14:paraId="6259E639">
        <w:tblPrEx>
          <w:tblCellMar>
            <w:top w:w="0" w:type="dxa"/>
            <w:left w:w="70" w:type="dxa"/>
            <w:bottom w:w="0" w:type="dxa"/>
            <w:right w:w="70" w:type="dxa"/>
          </w:tblCellMar>
        </w:tblPrEx>
        <w:trPr>
          <w:trHeight w:val="616" w:hRule="atLeast"/>
        </w:trPr>
        <w:tc>
          <w:tcPr>
            <w:tcW w:w="1011" w:type="dxa"/>
            <w:gridSpan w:val="2"/>
            <w:tcBorders>
              <w:top w:val="single" w:color="auto" w:sz="4" w:space="0"/>
              <w:left w:val="single" w:color="000000" w:sz="4" w:space="0"/>
              <w:bottom w:val="single" w:color="auto" w:sz="4" w:space="0"/>
              <w:right w:val="single" w:color="000000" w:sz="4" w:space="0"/>
            </w:tcBorders>
            <w:shd w:val="clear" w:color="auto" w:fill="D8D8D8" w:themeFill="background1" w:themeFillShade="D9"/>
            <w:vAlign w:val="center"/>
          </w:tcPr>
          <w:p w14:paraId="13DA6BD6">
            <w:pPr>
              <w:spacing w:line="240" w:lineRule="auto"/>
              <w:jc w:val="center"/>
              <w:rPr>
                <w:b/>
                <w:color w:val="000000"/>
                <w:sz w:val="16"/>
                <w:szCs w:val="16"/>
                <w:highlight w:val="lightGray"/>
              </w:rPr>
            </w:pPr>
            <w:r>
              <w:rPr>
                <w:b/>
                <w:color w:val="000000"/>
                <w:sz w:val="16"/>
                <w:szCs w:val="16"/>
                <w:highlight w:val="lightGray"/>
              </w:rPr>
              <w:t>Item</w:t>
            </w:r>
          </w:p>
        </w:tc>
        <w:tc>
          <w:tcPr>
            <w:tcW w:w="5788" w:type="dxa"/>
            <w:gridSpan w:val="2"/>
            <w:tcBorders>
              <w:top w:val="single" w:color="auto" w:sz="4" w:space="0"/>
              <w:left w:val="single" w:color="000000" w:sz="4" w:space="0"/>
              <w:bottom w:val="single" w:color="auto" w:sz="4" w:space="0"/>
              <w:right w:val="single" w:color="000000" w:sz="4" w:space="0"/>
            </w:tcBorders>
            <w:shd w:val="clear" w:color="auto" w:fill="D8D8D8" w:themeFill="background1" w:themeFillShade="D9"/>
            <w:vAlign w:val="center"/>
          </w:tcPr>
          <w:p w14:paraId="3D67B800">
            <w:pPr>
              <w:spacing w:line="240" w:lineRule="auto"/>
              <w:jc w:val="center"/>
              <w:rPr>
                <w:b/>
                <w:sz w:val="16"/>
                <w:szCs w:val="16"/>
              </w:rPr>
            </w:pPr>
            <w:r>
              <w:rPr>
                <w:b/>
                <w:sz w:val="16"/>
                <w:szCs w:val="16"/>
              </w:rPr>
              <w:t>Endereço</w:t>
            </w:r>
          </w:p>
        </w:tc>
        <w:tc>
          <w:tcPr>
            <w:tcW w:w="1418" w:type="dxa"/>
            <w:tcBorders>
              <w:top w:val="single" w:color="auto" w:sz="4" w:space="0"/>
              <w:left w:val="single" w:color="000000" w:sz="4" w:space="0"/>
              <w:bottom w:val="single" w:color="auto" w:sz="4" w:space="0"/>
              <w:right w:val="single" w:color="000000" w:sz="4" w:space="0"/>
            </w:tcBorders>
            <w:shd w:val="clear" w:color="auto" w:fill="D8D8D8" w:themeFill="background1" w:themeFillShade="D9"/>
            <w:vAlign w:val="center"/>
          </w:tcPr>
          <w:p w14:paraId="4F0AA7DF">
            <w:pPr>
              <w:spacing w:line="240" w:lineRule="auto"/>
              <w:jc w:val="center"/>
              <w:rPr>
                <w:b/>
                <w:sz w:val="16"/>
                <w:szCs w:val="16"/>
                <w:highlight w:val="lightGray"/>
              </w:rPr>
            </w:pPr>
            <w:r>
              <w:rPr>
                <w:b/>
                <w:sz w:val="16"/>
                <w:szCs w:val="16"/>
                <w:highlight w:val="lightGray"/>
              </w:rPr>
              <w:t>Tipo</w:t>
            </w:r>
          </w:p>
        </w:tc>
        <w:tc>
          <w:tcPr>
            <w:tcW w:w="1134" w:type="dxa"/>
            <w:tcBorders>
              <w:top w:val="single" w:color="auto" w:sz="4" w:space="0"/>
              <w:left w:val="single" w:color="000000" w:sz="4" w:space="0"/>
              <w:bottom w:val="single" w:color="auto" w:sz="4" w:space="0"/>
              <w:right w:val="single" w:color="000000" w:sz="4" w:space="0"/>
            </w:tcBorders>
            <w:shd w:val="clear" w:color="auto" w:fill="D8D8D8" w:themeFill="background1" w:themeFillShade="D9"/>
            <w:vAlign w:val="center"/>
          </w:tcPr>
          <w:p w14:paraId="66D707FA">
            <w:pPr>
              <w:spacing w:line="240" w:lineRule="auto"/>
              <w:jc w:val="center"/>
              <w:rPr>
                <w:b/>
                <w:color w:val="000000"/>
                <w:sz w:val="16"/>
                <w:szCs w:val="16"/>
                <w:highlight w:val="lightGray"/>
              </w:rPr>
            </w:pPr>
            <w:r>
              <w:rPr>
                <w:b/>
                <w:color w:val="000000"/>
                <w:sz w:val="16"/>
                <w:szCs w:val="16"/>
                <w:highlight w:val="lightGray"/>
              </w:rPr>
              <w:t>Faixa por endereço</w:t>
            </w:r>
          </w:p>
        </w:tc>
      </w:tr>
      <w:tr w14:paraId="2E63BA27">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7434104">
            <w:pPr>
              <w:spacing w:line="240" w:lineRule="auto"/>
              <w:jc w:val="center"/>
              <w:rPr>
                <w:color w:val="000000"/>
                <w:sz w:val="16"/>
                <w:szCs w:val="16"/>
              </w:rPr>
            </w:pPr>
            <w:r>
              <w:rPr>
                <w:sz w:val="16"/>
                <w:szCs w:val="16"/>
              </w:rPr>
              <w:t>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A221816">
            <w:pPr>
              <w:spacing w:line="240" w:lineRule="auto"/>
              <w:rPr>
                <w:rFonts w:eastAsia="Times New Roman"/>
                <w:color w:val="000000"/>
                <w:sz w:val="16"/>
                <w:szCs w:val="16"/>
              </w:rPr>
            </w:pPr>
            <w:r>
              <w:rPr>
                <w:sz w:val="16"/>
                <w:szCs w:val="16"/>
              </w:rPr>
              <w:t>AV. PRESIDENTE MÉDICI, N 4528 - BAIRRO VILA BIRIGUI</w:t>
            </w:r>
            <w:r>
              <w:rPr>
                <w:sz w:val="16"/>
                <w:szCs w:val="16"/>
              </w:rPr>
              <w:br w:type="textWrapping"/>
            </w:r>
            <w:r>
              <w:rPr>
                <w:sz w:val="16"/>
                <w:szCs w:val="16"/>
              </w:rPr>
              <w:t>[Sentido: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1902D179">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1C2ABB64">
            <w:pPr>
              <w:spacing w:line="240" w:lineRule="auto"/>
              <w:jc w:val="center"/>
              <w:rPr>
                <w:color w:val="000000"/>
                <w:sz w:val="16"/>
                <w:szCs w:val="16"/>
              </w:rPr>
            </w:pPr>
            <w:r>
              <w:rPr>
                <w:color w:val="000000"/>
                <w:sz w:val="16"/>
                <w:szCs w:val="16"/>
              </w:rPr>
              <w:t>3</w:t>
            </w:r>
          </w:p>
        </w:tc>
      </w:tr>
      <w:tr w14:paraId="7006A690">
        <w:tblPrEx>
          <w:tblCellMar>
            <w:top w:w="0" w:type="dxa"/>
            <w:left w:w="70" w:type="dxa"/>
            <w:bottom w:w="0" w:type="dxa"/>
            <w:right w:w="70" w:type="dxa"/>
          </w:tblCellMar>
        </w:tblPrEx>
        <w:trPr>
          <w:trHeight w:val="582"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2E9474E">
            <w:pPr>
              <w:spacing w:line="240" w:lineRule="auto"/>
              <w:jc w:val="center"/>
              <w:rPr>
                <w:color w:val="000000"/>
                <w:sz w:val="16"/>
                <w:szCs w:val="16"/>
              </w:rPr>
            </w:pPr>
            <w:r>
              <w:rPr>
                <w:sz w:val="16"/>
                <w:szCs w:val="16"/>
              </w:rPr>
              <w:t>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A614CB6">
            <w:pPr>
              <w:spacing w:line="240" w:lineRule="auto"/>
              <w:rPr>
                <w:rFonts w:eastAsia="Times New Roman"/>
                <w:color w:val="000000"/>
                <w:sz w:val="16"/>
                <w:szCs w:val="16"/>
              </w:rPr>
            </w:pPr>
            <w:r>
              <w:rPr>
                <w:sz w:val="16"/>
                <w:szCs w:val="16"/>
              </w:rPr>
              <w:t>AV. PRESIDENTE MÉDICI, N 4509 - BAIRRO VILA BIRIGUI</w:t>
            </w:r>
            <w:r>
              <w:rPr>
                <w:sz w:val="16"/>
                <w:szCs w:val="16"/>
              </w:rPr>
              <w:br w:type="textWrapping"/>
            </w:r>
            <w:r>
              <w:rPr>
                <w:sz w:val="16"/>
                <w:szCs w:val="16"/>
              </w:rPr>
              <w:t>[Sentido: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51C89FA2">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18A0E890">
            <w:pPr>
              <w:spacing w:line="240" w:lineRule="auto"/>
              <w:jc w:val="center"/>
              <w:rPr>
                <w:color w:val="000000"/>
                <w:sz w:val="16"/>
                <w:szCs w:val="16"/>
              </w:rPr>
            </w:pPr>
            <w:r>
              <w:rPr>
                <w:color w:val="000000"/>
                <w:sz w:val="16"/>
                <w:szCs w:val="16"/>
              </w:rPr>
              <w:t>3</w:t>
            </w:r>
          </w:p>
        </w:tc>
      </w:tr>
      <w:tr w14:paraId="6A5B7EF9">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A30E2BD">
            <w:pPr>
              <w:spacing w:line="240" w:lineRule="auto"/>
              <w:jc w:val="center"/>
              <w:rPr>
                <w:color w:val="000000"/>
                <w:sz w:val="16"/>
                <w:szCs w:val="16"/>
              </w:rPr>
            </w:pPr>
            <w:r>
              <w:rPr>
                <w:sz w:val="16"/>
                <w:szCs w:val="16"/>
              </w:rPr>
              <w:t>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0775363">
            <w:pPr>
              <w:spacing w:line="240" w:lineRule="auto"/>
              <w:rPr>
                <w:rFonts w:eastAsia="Times New Roman"/>
                <w:color w:val="000000"/>
                <w:sz w:val="16"/>
                <w:szCs w:val="16"/>
              </w:rPr>
            </w:pPr>
            <w:r>
              <w:rPr>
                <w:sz w:val="16"/>
                <w:szCs w:val="16"/>
              </w:rPr>
              <w:t>AV. DANIEL CLEMENTE, PRÓX. CONVENIÊNCIA PICA PAU -</w:t>
            </w:r>
            <w:r>
              <w:rPr>
                <w:sz w:val="16"/>
                <w:szCs w:val="16"/>
              </w:rPr>
              <w:br w:type="textWrapping"/>
            </w:r>
            <w:r>
              <w:rPr>
                <w:sz w:val="16"/>
                <w:szCs w:val="16"/>
              </w:rPr>
              <w:t>JARDIM MORUMBI [Sentio: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0CC6D7EE">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43568C91">
            <w:pPr>
              <w:spacing w:line="240" w:lineRule="auto"/>
              <w:jc w:val="center"/>
              <w:rPr>
                <w:color w:val="000000"/>
                <w:sz w:val="16"/>
                <w:szCs w:val="16"/>
              </w:rPr>
            </w:pPr>
            <w:r>
              <w:rPr>
                <w:color w:val="000000"/>
                <w:sz w:val="16"/>
                <w:szCs w:val="16"/>
              </w:rPr>
              <w:t>2</w:t>
            </w:r>
          </w:p>
        </w:tc>
      </w:tr>
      <w:tr w14:paraId="0D749728">
        <w:tblPrEx>
          <w:tblCellMar>
            <w:top w:w="0" w:type="dxa"/>
            <w:left w:w="70" w:type="dxa"/>
            <w:bottom w:w="0" w:type="dxa"/>
            <w:right w:w="70" w:type="dxa"/>
          </w:tblCellMar>
        </w:tblPrEx>
        <w:trPr>
          <w:trHeight w:val="61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32310AA">
            <w:pPr>
              <w:spacing w:line="240" w:lineRule="auto"/>
              <w:jc w:val="center"/>
              <w:rPr>
                <w:color w:val="000000"/>
                <w:sz w:val="16"/>
                <w:szCs w:val="16"/>
              </w:rPr>
            </w:pPr>
            <w:r>
              <w:rPr>
                <w:sz w:val="16"/>
                <w:szCs w:val="16"/>
              </w:rPr>
              <w:t>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3432D6B">
            <w:pPr>
              <w:spacing w:line="240" w:lineRule="auto"/>
              <w:rPr>
                <w:rFonts w:eastAsia="Times New Roman"/>
                <w:color w:val="000000"/>
                <w:sz w:val="16"/>
                <w:szCs w:val="16"/>
              </w:rPr>
            </w:pPr>
            <w:r>
              <w:rPr>
                <w:sz w:val="16"/>
                <w:szCs w:val="16"/>
              </w:rPr>
              <w:t>AV. DANIEL CLEMENTE, PRÓX. MERCADO MORUMBI -</w:t>
            </w:r>
            <w:r>
              <w:rPr>
                <w:sz w:val="16"/>
                <w:szCs w:val="16"/>
              </w:rPr>
              <w:br w:type="textWrapping"/>
            </w:r>
            <w:r>
              <w:rPr>
                <w:sz w:val="16"/>
                <w:szCs w:val="16"/>
              </w:rPr>
              <w:t>JARDIM MORUMBI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43320550">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102A4AE">
            <w:pPr>
              <w:spacing w:line="240" w:lineRule="auto"/>
              <w:jc w:val="center"/>
              <w:rPr>
                <w:color w:val="000000"/>
                <w:sz w:val="16"/>
                <w:szCs w:val="16"/>
              </w:rPr>
            </w:pPr>
            <w:r>
              <w:rPr>
                <w:color w:val="000000"/>
                <w:sz w:val="16"/>
                <w:szCs w:val="16"/>
              </w:rPr>
              <w:t>2</w:t>
            </w:r>
          </w:p>
        </w:tc>
      </w:tr>
      <w:tr w14:paraId="5FEBC22D">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CD79B65">
            <w:pPr>
              <w:spacing w:line="240" w:lineRule="auto"/>
              <w:jc w:val="center"/>
              <w:rPr>
                <w:color w:val="000000"/>
                <w:sz w:val="16"/>
                <w:szCs w:val="16"/>
              </w:rPr>
            </w:pPr>
            <w:r>
              <w:rPr>
                <w:sz w:val="16"/>
                <w:szCs w:val="16"/>
              </w:rPr>
              <w:t>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6713E92">
            <w:pPr>
              <w:spacing w:line="240" w:lineRule="auto"/>
              <w:rPr>
                <w:rFonts w:eastAsia="Times New Roman"/>
                <w:color w:val="000000"/>
                <w:sz w:val="16"/>
                <w:szCs w:val="16"/>
              </w:rPr>
            </w:pPr>
            <w:r>
              <w:rPr>
                <w:sz w:val="16"/>
                <w:szCs w:val="16"/>
              </w:rPr>
              <w:t>AV. GOVERNADOR JÚLIO JOSÉ DE CAMPOS, N 1953 -</w:t>
            </w:r>
            <w:r>
              <w:rPr>
                <w:sz w:val="16"/>
                <w:szCs w:val="16"/>
              </w:rPr>
              <w:br w:type="textWrapping"/>
            </w:r>
            <w:r>
              <w:rPr>
                <w:sz w:val="16"/>
                <w:szCs w:val="16"/>
              </w:rPr>
              <w:t>SETOR RESIDENCIAL GRANVILLE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417A2874">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066EB393">
            <w:pPr>
              <w:spacing w:line="240" w:lineRule="auto"/>
              <w:jc w:val="center"/>
              <w:rPr>
                <w:color w:val="000000"/>
                <w:sz w:val="16"/>
                <w:szCs w:val="16"/>
              </w:rPr>
            </w:pPr>
            <w:r>
              <w:rPr>
                <w:color w:val="000000"/>
                <w:sz w:val="16"/>
                <w:szCs w:val="16"/>
              </w:rPr>
              <w:t>2</w:t>
            </w:r>
          </w:p>
        </w:tc>
      </w:tr>
      <w:tr w14:paraId="44D003B1">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28525E4">
            <w:pPr>
              <w:spacing w:line="240" w:lineRule="auto"/>
              <w:jc w:val="center"/>
              <w:rPr>
                <w:color w:val="000000"/>
                <w:sz w:val="16"/>
                <w:szCs w:val="16"/>
              </w:rPr>
            </w:pPr>
            <w:r>
              <w:rPr>
                <w:sz w:val="16"/>
                <w:szCs w:val="16"/>
              </w:rPr>
              <w:t>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90B8B18">
            <w:pPr>
              <w:spacing w:line="240" w:lineRule="auto"/>
              <w:rPr>
                <w:rFonts w:eastAsia="Times New Roman"/>
                <w:color w:val="000000"/>
                <w:sz w:val="16"/>
                <w:szCs w:val="16"/>
              </w:rPr>
            </w:pPr>
            <w:r>
              <w:rPr>
                <w:sz w:val="16"/>
                <w:szCs w:val="16"/>
              </w:rPr>
              <w:t>AV. GOVERNADOR JÚLIO JOSÉ DE CAMPOS, N 1953 -</w:t>
            </w:r>
            <w:r>
              <w:rPr>
                <w:sz w:val="16"/>
                <w:szCs w:val="16"/>
              </w:rPr>
              <w:br w:type="textWrapping"/>
            </w:r>
            <w:r>
              <w:rPr>
                <w:sz w:val="16"/>
                <w:szCs w:val="16"/>
              </w:rPr>
              <w:t>SETOR RESIDENCIAL GRANVILLE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4AE40DE1">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9F55BD0">
            <w:pPr>
              <w:spacing w:line="240" w:lineRule="auto"/>
              <w:jc w:val="center"/>
              <w:rPr>
                <w:color w:val="000000"/>
                <w:sz w:val="16"/>
                <w:szCs w:val="16"/>
              </w:rPr>
            </w:pPr>
            <w:r>
              <w:rPr>
                <w:color w:val="000000"/>
                <w:sz w:val="16"/>
                <w:szCs w:val="16"/>
              </w:rPr>
              <w:t>2</w:t>
            </w:r>
          </w:p>
        </w:tc>
      </w:tr>
      <w:tr w14:paraId="31750802">
        <w:tblPrEx>
          <w:tblCellMar>
            <w:top w:w="0" w:type="dxa"/>
            <w:left w:w="70" w:type="dxa"/>
            <w:bottom w:w="0" w:type="dxa"/>
            <w:right w:w="70" w:type="dxa"/>
          </w:tblCellMar>
        </w:tblPrEx>
        <w:trPr>
          <w:trHeight w:val="582"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B2A81ED">
            <w:pPr>
              <w:spacing w:line="240" w:lineRule="auto"/>
              <w:jc w:val="center"/>
              <w:rPr>
                <w:color w:val="000000"/>
                <w:sz w:val="16"/>
                <w:szCs w:val="16"/>
              </w:rPr>
            </w:pPr>
            <w:r>
              <w:rPr>
                <w:sz w:val="16"/>
                <w:szCs w:val="16"/>
              </w:rPr>
              <w:t>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8C75F21">
            <w:pPr>
              <w:spacing w:line="240" w:lineRule="auto"/>
              <w:rPr>
                <w:rFonts w:eastAsia="Times New Roman"/>
                <w:color w:val="000000"/>
                <w:sz w:val="16"/>
                <w:szCs w:val="16"/>
              </w:rPr>
            </w:pPr>
            <w:r>
              <w:rPr>
                <w:sz w:val="16"/>
                <w:szCs w:val="16"/>
              </w:rPr>
              <w:t>AV. DOS ESTUDANTES - ENTRADA DO BAIRRO COLINA</w:t>
            </w:r>
            <w:r>
              <w:rPr>
                <w:sz w:val="16"/>
                <w:szCs w:val="16"/>
              </w:rPr>
              <w:br w:type="textWrapping"/>
            </w:r>
            <w:r>
              <w:rPr>
                <w:sz w:val="16"/>
                <w:szCs w:val="16"/>
              </w:rPr>
              <w:t>VERDE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03993C8C">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8B48C3F">
            <w:pPr>
              <w:spacing w:line="240" w:lineRule="auto"/>
              <w:jc w:val="center"/>
              <w:rPr>
                <w:color w:val="000000"/>
                <w:sz w:val="16"/>
                <w:szCs w:val="16"/>
              </w:rPr>
            </w:pPr>
            <w:r>
              <w:rPr>
                <w:color w:val="000000"/>
                <w:sz w:val="16"/>
                <w:szCs w:val="16"/>
              </w:rPr>
              <w:t>2</w:t>
            </w:r>
          </w:p>
        </w:tc>
      </w:tr>
      <w:tr w14:paraId="362CA973">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1C0F443">
            <w:pPr>
              <w:spacing w:line="240" w:lineRule="auto"/>
              <w:jc w:val="center"/>
              <w:rPr>
                <w:color w:val="000000"/>
                <w:sz w:val="16"/>
                <w:szCs w:val="16"/>
              </w:rPr>
            </w:pPr>
            <w:r>
              <w:rPr>
                <w:sz w:val="16"/>
                <w:szCs w:val="16"/>
              </w:rPr>
              <w:t>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267AFBE">
            <w:pPr>
              <w:spacing w:line="240" w:lineRule="auto"/>
              <w:rPr>
                <w:rFonts w:eastAsia="Times New Roman"/>
                <w:color w:val="000000"/>
                <w:sz w:val="16"/>
                <w:szCs w:val="16"/>
              </w:rPr>
            </w:pPr>
            <w:r>
              <w:rPr>
                <w:sz w:val="16"/>
                <w:szCs w:val="16"/>
              </w:rPr>
              <w:t>AV. DOS ESTUDANTES - ENTRADA DO BAIRRO COLINA</w:t>
            </w:r>
            <w:r>
              <w:rPr>
                <w:sz w:val="16"/>
                <w:szCs w:val="16"/>
              </w:rPr>
              <w:br w:type="textWrapping"/>
            </w:r>
            <w:r>
              <w:rPr>
                <w:sz w:val="16"/>
                <w:szCs w:val="16"/>
              </w:rPr>
              <w:t>VERDE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2ECDDA2D">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A37B522">
            <w:pPr>
              <w:spacing w:line="240" w:lineRule="auto"/>
              <w:jc w:val="center"/>
              <w:rPr>
                <w:color w:val="000000"/>
                <w:sz w:val="16"/>
                <w:szCs w:val="16"/>
              </w:rPr>
            </w:pPr>
            <w:r>
              <w:rPr>
                <w:color w:val="000000"/>
                <w:sz w:val="16"/>
                <w:szCs w:val="16"/>
              </w:rPr>
              <w:t>2</w:t>
            </w:r>
          </w:p>
        </w:tc>
      </w:tr>
      <w:tr w14:paraId="50B5DB88">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A6D8148">
            <w:pPr>
              <w:spacing w:line="240" w:lineRule="auto"/>
              <w:jc w:val="center"/>
              <w:rPr>
                <w:color w:val="000000"/>
                <w:sz w:val="16"/>
                <w:szCs w:val="16"/>
              </w:rPr>
            </w:pPr>
            <w:r>
              <w:rPr>
                <w:sz w:val="16"/>
                <w:szCs w:val="16"/>
              </w:rPr>
              <w:t>9</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605A590">
            <w:pPr>
              <w:spacing w:line="240" w:lineRule="auto"/>
              <w:rPr>
                <w:sz w:val="16"/>
                <w:szCs w:val="16"/>
              </w:rPr>
            </w:pPr>
            <w:r>
              <w:rPr>
                <w:sz w:val="16"/>
                <w:szCs w:val="16"/>
              </w:rPr>
              <w:t>RUA FERNANDO CORRÊA DA COSTA ESQ. C/ AV. GENERAL FALCONIERI N 674 - VILA AURORA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21AD4933">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0FDDF2BC">
            <w:pPr>
              <w:spacing w:line="240" w:lineRule="auto"/>
              <w:jc w:val="center"/>
              <w:rPr>
                <w:color w:val="000000"/>
                <w:sz w:val="16"/>
                <w:szCs w:val="16"/>
              </w:rPr>
            </w:pPr>
            <w:r>
              <w:rPr>
                <w:color w:val="000000"/>
                <w:sz w:val="16"/>
                <w:szCs w:val="16"/>
              </w:rPr>
              <w:t>2</w:t>
            </w:r>
          </w:p>
        </w:tc>
      </w:tr>
      <w:tr w14:paraId="63A1EDEA">
        <w:tblPrEx>
          <w:tblCellMar>
            <w:top w:w="0" w:type="dxa"/>
            <w:left w:w="70" w:type="dxa"/>
            <w:bottom w:w="0" w:type="dxa"/>
            <w:right w:w="70" w:type="dxa"/>
          </w:tblCellMar>
        </w:tblPrEx>
        <w:trPr>
          <w:trHeight w:val="67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BB3C3F3">
            <w:pPr>
              <w:spacing w:line="240" w:lineRule="auto"/>
              <w:jc w:val="center"/>
              <w:rPr>
                <w:color w:val="000000"/>
                <w:sz w:val="16"/>
                <w:szCs w:val="16"/>
              </w:rPr>
            </w:pPr>
            <w:r>
              <w:rPr>
                <w:sz w:val="16"/>
                <w:szCs w:val="16"/>
              </w:rPr>
              <w:t>10</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A712F6B">
            <w:pPr>
              <w:spacing w:line="240" w:lineRule="auto"/>
              <w:rPr>
                <w:rFonts w:eastAsia="Times New Roman"/>
                <w:color w:val="000000"/>
                <w:sz w:val="16"/>
                <w:szCs w:val="16"/>
              </w:rPr>
            </w:pPr>
            <w:r>
              <w:rPr>
                <w:sz w:val="16"/>
                <w:szCs w:val="16"/>
              </w:rPr>
              <w:t>AV. BANDEIRANTES - Próx. A ENTRADA DO JD. DAS FLORES</w:t>
            </w:r>
            <w:r>
              <w:rPr>
                <w:sz w:val="16"/>
                <w:szCs w:val="16"/>
              </w:rPr>
              <w:br w:type="textWrapping"/>
            </w:r>
            <w:r>
              <w:rPr>
                <w:sz w:val="16"/>
                <w:szCs w:val="16"/>
              </w:rPr>
              <w:t>[Sentido: Centro/Bairro e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13351CAD">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799D589">
            <w:pPr>
              <w:spacing w:line="240" w:lineRule="auto"/>
              <w:jc w:val="center"/>
              <w:rPr>
                <w:color w:val="000000"/>
                <w:sz w:val="16"/>
                <w:szCs w:val="16"/>
              </w:rPr>
            </w:pPr>
            <w:r>
              <w:rPr>
                <w:color w:val="000000"/>
                <w:sz w:val="16"/>
                <w:szCs w:val="16"/>
              </w:rPr>
              <w:t>2</w:t>
            </w:r>
          </w:p>
        </w:tc>
      </w:tr>
      <w:tr w14:paraId="449396B8">
        <w:tblPrEx>
          <w:tblCellMar>
            <w:top w:w="0" w:type="dxa"/>
            <w:left w:w="70" w:type="dxa"/>
            <w:bottom w:w="0" w:type="dxa"/>
            <w:right w:w="70" w:type="dxa"/>
          </w:tblCellMar>
        </w:tblPrEx>
        <w:trPr>
          <w:trHeight w:val="702"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63121AB">
            <w:pPr>
              <w:spacing w:line="240" w:lineRule="auto"/>
              <w:jc w:val="center"/>
              <w:rPr>
                <w:color w:val="000000"/>
                <w:sz w:val="16"/>
                <w:szCs w:val="16"/>
              </w:rPr>
            </w:pPr>
            <w:r>
              <w:rPr>
                <w:sz w:val="16"/>
                <w:szCs w:val="16"/>
              </w:rPr>
              <w:t>11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5E57A08">
            <w:pPr>
              <w:spacing w:line="240" w:lineRule="auto"/>
              <w:rPr>
                <w:rFonts w:eastAsia="Times New Roman"/>
                <w:color w:val="000000"/>
                <w:sz w:val="16"/>
                <w:szCs w:val="16"/>
              </w:rPr>
            </w:pPr>
            <w:r>
              <w:rPr>
                <w:sz w:val="16"/>
                <w:szCs w:val="16"/>
              </w:rPr>
              <w:t>AV. GOIÂNIA Nº 788 - BAIRRO JARDIM PINDORAMA - WCAR</w:t>
            </w:r>
            <w:r>
              <w:rPr>
                <w:sz w:val="16"/>
                <w:szCs w:val="16"/>
              </w:rPr>
              <w:br w:type="textWrapping"/>
            </w:r>
            <w:r>
              <w:rPr>
                <w:sz w:val="16"/>
                <w:szCs w:val="16"/>
              </w:rPr>
              <w:t>BORRACHARIA [Sentido Duplo: Centro/Bairro e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3F8767BD">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48A3878A">
            <w:pPr>
              <w:spacing w:line="240" w:lineRule="auto"/>
              <w:jc w:val="center"/>
              <w:rPr>
                <w:color w:val="000000"/>
                <w:sz w:val="16"/>
                <w:szCs w:val="16"/>
              </w:rPr>
            </w:pPr>
            <w:r>
              <w:rPr>
                <w:color w:val="000000"/>
                <w:sz w:val="16"/>
                <w:szCs w:val="16"/>
              </w:rPr>
              <w:t>2</w:t>
            </w:r>
          </w:p>
        </w:tc>
      </w:tr>
      <w:tr w14:paraId="6A675CE2">
        <w:tblPrEx>
          <w:tblCellMar>
            <w:top w:w="0" w:type="dxa"/>
            <w:left w:w="70" w:type="dxa"/>
            <w:bottom w:w="0" w:type="dxa"/>
            <w:right w:w="70" w:type="dxa"/>
          </w:tblCellMar>
        </w:tblPrEx>
        <w:trPr>
          <w:trHeight w:val="49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D09E5A9">
            <w:pPr>
              <w:spacing w:line="240" w:lineRule="auto"/>
              <w:jc w:val="center"/>
              <w:rPr>
                <w:color w:val="000000"/>
                <w:sz w:val="16"/>
                <w:szCs w:val="16"/>
              </w:rPr>
            </w:pPr>
            <w:r>
              <w:rPr>
                <w:sz w:val="16"/>
                <w:szCs w:val="16"/>
              </w:rPr>
              <w:t>12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FBC75EA">
            <w:pPr>
              <w:spacing w:line="240" w:lineRule="auto"/>
              <w:rPr>
                <w:rFonts w:eastAsia="Times New Roman"/>
                <w:color w:val="000000"/>
                <w:sz w:val="16"/>
                <w:szCs w:val="16"/>
              </w:rPr>
            </w:pPr>
            <w:r>
              <w:rPr>
                <w:sz w:val="16"/>
                <w:szCs w:val="16"/>
              </w:rPr>
              <w:t>AV. PRESIDENTE MEDICI, N. 3821, PROX. A CHEVROLET -</w:t>
            </w:r>
            <w:r>
              <w:rPr>
                <w:sz w:val="16"/>
                <w:szCs w:val="16"/>
              </w:rPr>
              <w:br w:type="textWrapping"/>
            </w:r>
            <w:r>
              <w:rPr>
                <w:sz w:val="16"/>
                <w:szCs w:val="16"/>
              </w:rPr>
              <w:t>BAIRRO CIDADE SALMEN [Duplo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6C044CAD">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BFE6B4D">
            <w:pPr>
              <w:spacing w:line="240" w:lineRule="auto"/>
              <w:jc w:val="center"/>
              <w:rPr>
                <w:color w:val="000000"/>
                <w:sz w:val="16"/>
                <w:szCs w:val="16"/>
              </w:rPr>
            </w:pPr>
            <w:r>
              <w:rPr>
                <w:color w:val="000000"/>
                <w:sz w:val="16"/>
                <w:szCs w:val="16"/>
              </w:rPr>
              <w:t>3</w:t>
            </w:r>
          </w:p>
        </w:tc>
      </w:tr>
      <w:tr w14:paraId="5F0C3A3F">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1A634A4E">
            <w:pPr>
              <w:spacing w:line="240" w:lineRule="auto"/>
              <w:jc w:val="center"/>
              <w:rPr>
                <w:color w:val="000000"/>
                <w:sz w:val="16"/>
                <w:szCs w:val="16"/>
              </w:rPr>
            </w:pPr>
            <w:r>
              <w:rPr>
                <w:sz w:val="16"/>
                <w:szCs w:val="16"/>
              </w:rPr>
              <w:t>13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E266401">
            <w:pPr>
              <w:spacing w:line="240" w:lineRule="auto"/>
              <w:rPr>
                <w:rFonts w:eastAsia="Times New Roman"/>
                <w:color w:val="000000"/>
                <w:sz w:val="16"/>
                <w:szCs w:val="16"/>
              </w:rPr>
            </w:pPr>
            <w:r>
              <w:rPr>
                <w:sz w:val="16"/>
                <w:szCs w:val="16"/>
              </w:rPr>
              <w:t>AV. PRESIDENTE MEDICI, N. 3656, PROX. AO HOTEL</w:t>
            </w:r>
            <w:r>
              <w:rPr>
                <w:sz w:val="16"/>
                <w:szCs w:val="16"/>
              </w:rPr>
              <w:br w:type="textWrapping"/>
            </w:r>
            <w:r>
              <w:rPr>
                <w:sz w:val="16"/>
                <w:szCs w:val="16"/>
              </w:rPr>
              <w:t>SERRAS - BAIRRO CIDADE SALMEN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51D77A1E">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52749F33">
            <w:pPr>
              <w:spacing w:line="240" w:lineRule="auto"/>
              <w:jc w:val="center"/>
              <w:rPr>
                <w:color w:val="000000"/>
                <w:sz w:val="16"/>
                <w:szCs w:val="16"/>
              </w:rPr>
            </w:pPr>
            <w:r>
              <w:rPr>
                <w:color w:val="000000"/>
                <w:sz w:val="16"/>
                <w:szCs w:val="16"/>
              </w:rPr>
              <w:t>3</w:t>
            </w:r>
          </w:p>
        </w:tc>
      </w:tr>
      <w:tr w14:paraId="263380B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323711A">
            <w:pPr>
              <w:spacing w:line="240" w:lineRule="auto"/>
              <w:jc w:val="center"/>
              <w:rPr>
                <w:color w:val="000000"/>
                <w:sz w:val="16"/>
                <w:szCs w:val="16"/>
              </w:rPr>
            </w:pPr>
            <w:r>
              <w:rPr>
                <w:sz w:val="16"/>
                <w:szCs w:val="16"/>
              </w:rPr>
              <w:t>14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1B6FA11">
            <w:pPr>
              <w:spacing w:line="240" w:lineRule="auto"/>
              <w:rPr>
                <w:rFonts w:eastAsia="Times New Roman"/>
                <w:color w:val="000000"/>
                <w:sz w:val="16"/>
                <w:szCs w:val="16"/>
              </w:rPr>
            </w:pPr>
            <w:r>
              <w:rPr>
                <w:sz w:val="16"/>
                <w:szCs w:val="16"/>
              </w:rPr>
              <w:t>AV. CASSIMIRO DE ABREU, N. 671 BAIRRO JOÃO DE BARRO</w:t>
            </w:r>
            <w:r>
              <w:rPr>
                <w:sz w:val="16"/>
                <w:szCs w:val="16"/>
              </w:rPr>
              <w:br w:type="textWrapping"/>
            </w:r>
            <w:r>
              <w:rPr>
                <w:sz w:val="16"/>
                <w:szCs w:val="16"/>
              </w:rPr>
              <w:t>[Sentido Duplo: Bairro/Centro e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53A42F52">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5CB85220">
            <w:pPr>
              <w:spacing w:line="240" w:lineRule="auto"/>
              <w:jc w:val="center"/>
              <w:rPr>
                <w:color w:val="000000"/>
                <w:sz w:val="16"/>
                <w:szCs w:val="16"/>
              </w:rPr>
            </w:pPr>
            <w:r>
              <w:rPr>
                <w:color w:val="000000"/>
                <w:sz w:val="16"/>
                <w:szCs w:val="16"/>
              </w:rPr>
              <w:t>2</w:t>
            </w:r>
          </w:p>
        </w:tc>
      </w:tr>
      <w:tr w14:paraId="0697A6A8">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0DD1C29">
            <w:pPr>
              <w:spacing w:line="240" w:lineRule="auto"/>
              <w:jc w:val="center"/>
              <w:rPr>
                <w:color w:val="000000"/>
                <w:sz w:val="16"/>
                <w:szCs w:val="16"/>
              </w:rPr>
            </w:pPr>
            <w:r>
              <w:rPr>
                <w:sz w:val="16"/>
                <w:szCs w:val="16"/>
              </w:rPr>
              <w:t>15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D8E0F29">
            <w:pPr>
              <w:spacing w:line="240" w:lineRule="auto"/>
              <w:rPr>
                <w:sz w:val="16"/>
                <w:szCs w:val="16"/>
              </w:rPr>
            </w:pPr>
            <w:r>
              <w:rPr>
                <w:sz w:val="16"/>
                <w:szCs w:val="16"/>
              </w:rPr>
              <w:t>RUA DOM PEDRO II, ALT 1300</w:t>
            </w:r>
          </w:p>
        </w:tc>
        <w:tc>
          <w:tcPr>
            <w:tcW w:w="1418" w:type="dxa"/>
            <w:tcBorders>
              <w:top w:val="single" w:color="auto" w:sz="4" w:space="0"/>
              <w:left w:val="single" w:color="auto" w:sz="4" w:space="0"/>
              <w:bottom w:val="single" w:color="auto" w:sz="4" w:space="0"/>
              <w:right w:val="single" w:color="auto" w:sz="4" w:space="0"/>
            </w:tcBorders>
            <w:vAlign w:val="center"/>
          </w:tcPr>
          <w:p w14:paraId="2DE86F90">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490CAEB8">
            <w:pPr>
              <w:spacing w:line="240" w:lineRule="auto"/>
              <w:jc w:val="center"/>
              <w:rPr>
                <w:color w:val="000000"/>
                <w:sz w:val="16"/>
                <w:szCs w:val="16"/>
              </w:rPr>
            </w:pPr>
            <w:r>
              <w:rPr>
                <w:color w:val="000000"/>
                <w:sz w:val="16"/>
                <w:szCs w:val="16"/>
              </w:rPr>
              <w:t>2</w:t>
            </w:r>
          </w:p>
        </w:tc>
      </w:tr>
      <w:tr w14:paraId="55C6675B">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02E13E65">
            <w:pPr>
              <w:spacing w:line="240" w:lineRule="auto"/>
              <w:jc w:val="center"/>
              <w:rPr>
                <w:color w:val="000000"/>
                <w:sz w:val="16"/>
                <w:szCs w:val="16"/>
              </w:rPr>
            </w:pPr>
            <w:r>
              <w:rPr>
                <w:sz w:val="16"/>
                <w:szCs w:val="16"/>
              </w:rPr>
              <w:t>16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623677C">
            <w:pPr>
              <w:spacing w:line="240" w:lineRule="auto"/>
              <w:rPr>
                <w:sz w:val="16"/>
                <w:szCs w:val="16"/>
              </w:rPr>
            </w:pPr>
            <w:r>
              <w:rPr>
                <w:sz w:val="16"/>
                <w:szCs w:val="16"/>
              </w:rPr>
              <w:t>RUA ROSA BORORO, 470, PROX AV TIRADENTES</w:t>
            </w:r>
          </w:p>
        </w:tc>
        <w:tc>
          <w:tcPr>
            <w:tcW w:w="1418" w:type="dxa"/>
            <w:tcBorders>
              <w:top w:val="single" w:color="auto" w:sz="4" w:space="0"/>
              <w:left w:val="single" w:color="auto" w:sz="4" w:space="0"/>
              <w:bottom w:val="single" w:color="auto" w:sz="4" w:space="0"/>
              <w:right w:val="single" w:color="auto" w:sz="4" w:space="0"/>
            </w:tcBorders>
            <w:vAlign w:val="center"/>
          </w:tcPr>
          <w:p w14:paraId="6745BBC4">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9413620">
            <w:pPr>
              <w:spacing w:line="240" w:lineRule="auto"/>
              <w:jc w:val="center"/>
              <w:rPr>
                <w:color w:val="000000"/>
                <w:sz w:val="16"/>
                <w:szCs w:val="16"/>
              </w:rPr>
            </w:pPr>
            <w:r>
              <w:rPr>
                <w:color w:val="000000"/>
                <w:sz w:val="16"/>
                <w:szCs w:val="16"/>
              </w:rPr>
              <w:t>2</w:t>
            </w:r>
          </w:p>
        </w:tc>
      </w:tr>
      <w:tr w14:paraId="75EEAD18">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777E01B">
            <w:pPr>
              <w:spacing w:line="240" w:lineRule="auto"/>
              <w:jc w:val="center"/>
              <w:rPr>
                <w:color w:val="000000"/>
                <w:sz w:val="16"/>
                <w:szCs w:val="16"/>
              </w:rPr>
            </w:pPr>
            <w:r>
              <w:rPr>
                <w:sz w:val="16"/>
                <w:szCs w:val="16"/>
              </w:rPr>
              <w:t>17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CDD41AE">
            <w:pPr>
              <w:spacing w:line="240" w:lineRule="auto"/>
              <w:rPr>
                <w:rFonts w:eastAsia="Times New Roman"/>
                <w:color w:val="000000"/>
                <w:sz w:val="16"/>
                <w:szCs w:val="16"/>
              </w:rPr>
            </w:pPr>
            <w:r>
              <w:rPr>
                <w:sz w:val="16"/>
                <w:szCs w:val="16"/>
              </w:rPr>
              <w:t>AV. OTAVIANO MUNIZ - EQUOTERAPIA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1F2D69D5">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C41DE02">
            <w:pPr>
              <w:spacing w:line="240" w:lineRule="auto"/>
              <w:jc w:val="center"/>
              <w:rPr>
                <w:color w:val="000000"/>
                <w:sz w:val="16"/>
                <w:szCs w:val="16"/>
              </w:rPr>
            </w:pPr>
            <w:r>
              <w:rPr>
                <w:color w:val="000000"/>
                <w:sz w:val="16"/>
                <w:szCs w:val="16"/>
              </w:rPr>
              <w:t>2</w:t>
            </w:r>
          </w:p>
        </w:tc>
      </w:tr>
      <w:tr w14:paraId="040AAEF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0735EAA">
            <w:pPr>
              <w:spacing w:line="240" w:lineRule="auto"/>
              <w:jc w:val="center"/>
              <w:rPr>
                <w:color w:val="000000"/>
                <w:sz w:val="16"/>
                <w:szCs w:val="16"/>
              </w:rPr>
            </w:pPr>
            <w:r>
              <w:rPr>
                <w:sz w:val="16"/>
                <w:szCs w:val="16"/>
              </w:rPr>
              <w:t>18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5037DCB">
            <w:pPr>
              <w:spacing w:line="240" w:lineRule="auto"/>
              <w:rPr>
                <w:rFonts w:eastAsia="Times New Roman"/>
                <w:color w:val="000000"/>
                <w:sz w:val="16"/>
                <w:szCs w:val="16"/>
              </w:rPr>
            </w:pPr>
            <w:r>
              <w:rPr>
                <w:sz w:val="16"/>
                <w:szCs w:val="16"/>
              </w:rPr>
              <w:t>AV OTAVIANO MUNIZ - PONTO CENTRAL - [Sentido: bairro /centro]</w:t>
            </w:r>
          </w:p>
        </w:tc>
        <w:tc>
          <w:tcPr>
            <w:tcW w:w="1418" w:type="dxa"/>
            <w:tcBorders>
              <w:top w:val="single" w:color="auto" w:sz="4" w:space="0"/>
              <w:left w:val="single" w:color="auto" w:sz="4" w:space="0"/>
              <w:bottom w:val="single" w:color="auto" w:sz="4" w:space="0"/>
              <w:right w:val="single" w:color="auto" w:sz="4" w:space="0"/>
            </w:tcBorders>
            <w:vAlign w:val="center"/>
          </w:tcPr>
          <w:p w14:paraId="31FDAD03">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BE324E1">
            <w:pPr>
              <w:spacing w:line="240" w:lineRule="auto"/>
              <w:jc w:val="center"/>
              <w:rPr>
                <w:color w:val="000000"/>
                <w:sz w:val="16"/>
                <w:szCs w:val="16"/>
              </w:rPr>
            </w:pPr>
            <w:r>
              <w:rPr>
                <w:color w:val="000000"/>
                <w:sz w:val="16"/>
                <w:szCs w:val="16"/>
              </w:rPr>
              <w:t>2</w:t>
            </w:r>
          </w:p>
        </w:tc>
      </w:tr>
      <w:tr w14:paraId="65569A5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8E64046">
            <w:pPr>
              <w:spacing w:line="240" w:lineRule="auto"/>
              <w:jc w:val="center"/>
              <w:rPr>
                <w:color w:val="000000"/>
                <w:sz w:val="16"/>
                <w:szCs w:val="16"/>
              </w:rPr>
            </w:pPr>
            <w:r>
              <w:rPr>
                <w:sz w:val="16"/>
                <w:szCs w:val="16"/>
              </w:rPr>
              <w:t>19</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43C8669">
            <w:pPr>
              <w:spacing w:line="240" w:lineRule="auto"/>
              <w:rPr>
                <w:rFonts w:eastAsia="Times New Roman"/>
                <w:color w:val="000000"/>
                <w:sz w:val="16"/>
                <w:szCs w:val="16"/>
              </w:rPr>
            </w:pPr>
            <w:r>
              <w:rPr>
                <w:sz w:val="16"/>
                <w:szCs w:val="16"/>
              </w:rPr>
              <w:t>AV OTAVIANO MUNIZ - PONTO CENTRAL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40FD40D6">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4EAD31A6">
            <w:pPr>
              <w:spacing w:line="240" w:lineRule="auto"/>
              <w:jc w:val="center"/>
              <w:rPr>
                <w:color w:val="000000"/>
                <w:sz w:val="16"/>
                <w:szCs w:val="16"/>
              </w:rPr>
            </w:pPr>
            <w:r>
              <w:rPr>
                <w:color w:val="000000"/>
                <w:sz w:val="16"/>
                <w:szCs w:val="16"/>
              </w:rPr>
              <w:t>2</w:t>
            </w:r>
          </w:p>
        </w:tc>
      </w:tr>
      <w:tr w14:paraId="601F264E">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66B4701">
            <w:pPr>
              <w:spacing w:line="240" w:lineRule="auto"/>
              <w:jc w:val="center"/>
              <w:rPr>
                <w:color w:val="000000"/>
                <w:sz w:val="16"/>
                <w:szCs w:val="16"/>
              </w:rPr>
            </w:pPr>
            <w:r>
              <w:rPr>
                <w:sz w:val="16"/>
                <w:szCs w:val="16"/>
              </w:rPr>
              <w:t>20</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C8FDDF0">
            <w:pPr>
              <w:spacing w:line="240" w:lineRule="auto"/>
              <w:rPr>
                <w:rFonts w:eastAsia="Times New Roman"/>
                <w:color w:val="000000"/>
                <w:sz w:val="16"/>
                <w:szCs w:val="16"/>
              </w:rPr>
            </w:pPr>
            <w:r>
              <w:rPr>
                <w:sz w:val="16"/>
                <w:szCs w:val="16"/>
              </w:rPr>
              <w:t>AV. OTAVIANO MUNIZ - CÓRREGO LOURENCINHO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5641FB3B">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3C4FE55E">
            <w:pPr>
              <w:spacing w:line="240" w:lineRule="auto"/>
              <w:jc w:val="center"/>
              <w:rPr>
                <w:color w:val="000000"/>
                <w:sz w:val="16"/>
                <w:szCs w:val="16"/>
              </w:rPr>
            </w:pPr>
            <w:r>
              <w:rPr>
                <w:color w:val="000000"/>
                <w:sz w:val="16"/>
                <w:szCs w:val="16"/>
              </w:rPr>
              <w:t>2</w:t>
            </w:r>
          </w:p>
        </w:tc>
      </w:tr>
      <w:tr w14:paraId="73BCB987">
        <w:tblPrEx>
          <w:tblCellMar>
            <w:top w:w="0" w:type="dxa"/>
            <w:left w:w="70" w:type="dxa"/>
            <w:bottom w:w="0" w:type="dxa"/>
            <w:right w:w="70" w:type="dxa"/>
          </w:tblCellMar>
        </w:tblPrEx>
        <w:trPr>
          <w:trHeight w:val="612"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60D7267">
            <w:pPr>
              <w:spacing w:line="240" w:lineRule="auto"/>
              <w:jc w:val="center"/>
              <w:rPr>
                <w:color w:val="000000"/>
                <w:sz w:val="16"/>
                <w:szCs w:val="16"/>
              </w:rPr>
            </w:pPr>
            <w:r>
              <w:rPr>
                <w:sz w:val="16"/>
                <w:szCs w:val="16"/>
              </w:rPr>
              <w:t>21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CEA9AC1">
            <w:pPr>
              <w:spacing w:line="240" w:lineRule="auto"/>
              <w:rPr>
                <w:rFonts w:eastAsia="Times New Roman"/>
                <w:color w:val="000000"/>
                <w:sz w:val="16"/>
                <w:szCs w:val="16"/>
              </w:rPr>
            </w:pPr>
            <w:r>
              <w:rPr>
                <w:sz w:val="16"/>
                <w:szCs w:val="16"/>
              </w:rPr>
              <w:t>AV. OTAVIANO MUNIZ - CÓRREGO LOURENCINHO [Sentido:</w:t>
            </w:r>
            <w:r>
              <w:rPr>
                <w:sz w:val="16"/>
                <w:szCs w:val="16"/>
              </w:rPr>
              <w:br w:type="textWrapping"/>
            </w:r>
            <w:r>
              <w:rPr>
                <w:sz w:val="16"/>
                <w:szCs w:val="16"/>
              </w:rPr>
              <w:t>Bairro / Centro]</w:t>
            </w:r>
          </w:p>
        </w:tc>
        <w:tc>
          <w:tcPr>
            <w:tcW w:w="1418" w:type="dxa"/>
            <w:tcBorders>
              <w:top w:val="single" w:color="auto" w:sz="4" w:space="0"/>
              <w:left w:val="single" w:color="auto" w:sz="4" w:space="0"/>
              <w:bottom w:val="single" w:color="auto" w:sz="4" w:space="0"/>
              <w:right w:val="single" w:color="auto" w:sz="4" w:space="0"/>
            </w:tcBorders>
            <w:vAlign w:val="center"/>
          </w:tcPr>
          <w:p w14:paraId="7F3FC6EF">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4CBFC386">
            <w:pPr>
              <w:spacing w:line="240" w:lineRule="auto"/>
              <w:jc w:val="center"/>
              <w:rPr>
                <w:color w:val="000000"/>
                <w:sz w:val="16"/>
                <w:szCs w:val="16"/>
              </w:rPr>
            </w:pPr>
            <w:r>
              <w:rPr>
                <w:color w:val="000000"/>
                <w:sz w:val="16"/>
                <w:szCs w:val="16"/>
              </w:rPr>
              <w:t>2</w:t>
            </w:r>
          </w:p>
        </w:tc>
      </w:tr>
      <w:tr w14:paraId="70414C82">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A2665AF">
            <w:pPr>
              <w:spacing w:line="240" w:lineRule="auto"/>
              <w:jc w:val="center"/>
              <w:rPr>
                <w:color w:val="000000"/>
                <w:sz w:val="16"/>
                <w:szCs w:val="16"/>
              </w:rPr>
            </w:pPr>
            <w:r>
              <w:rPr>
                <w:sz w:val="16"/>
                <w:szCs w:val="16"/>
              </w:rPr>
              <w:t>22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E17A4F2">
            <w:pPr>
              <w:spacing w:line="240" w:lineRule="auto"/>
              <w:rPr>
                <w:rFonts w:eastAsia="Times New Roman"/>
                <w:color w:val="000000"/>
                <w:sz w:val="16"/>
                <w:szCs w:val="16"/>
              </w:rPr>
            </w:pPr>
            <w:r>
              <w:rPr>
                <w:sz w:val="16"/>
                <w:szCs w:val="16"/>
              </w:rPr>
              <w:t>AV. GOVERNADOR JULIO CAMPOS - CENTRO ESPÍRITA LUZ</w:t>
            </w:r>
            <w:r>
              <w:rPr>
                <w:sz w:val="16"/>
                <w:szCs w:val="16"/>
              </w:rPr>
              <w:br w:type="textWrapping"/>
            </w:r>
            <w:r>
              <w:rPr>
                <w:sz w:val="16"/>
                <w:szCs w:val="16"/>
              </w:rPr>
              <w:t>DO CAMINHO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0C1F9E80">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34104C06">
            <w:pPr>
              <w:spacing w:line="240" w:lineRule="auto"/>
              <w:jc w:val="center"/>
              <w:rPr>
                <w:color w:val="000000"/>
                <w:sz w:val="16"/>
                <w:szCs w:val="16"/>
              </w:rPr>
            </w:pPr>
            <w:r>
              <w:rPr>
                <w:color w:val="000000"/>
                <w:sz w:val="16"/>
                <w:szCs w:val="16"/>
              </w:rPr>
              <w:t>2</w:t>
            </w:r>
          </w:p>
        </w:tc>
      </w:tr>
      <w:tr w14:paraId="12740835">
        <w:tblPrEx>
          <w:tblCellMar>
            <w:top w:w="0" w:type="dxa"/>
            <w:left w:w="70" w:type="dxa"/>
            <w:bottom w:w="0" w:type="dxa"/>
            <w:right w:w="70" w:type="dxa"/>
          </w:tblCellMar>
        </w:tblPrEx>
        <w:trPr>
          <w:trHeight w:val="582"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1420F843">
            <w:pPr>
              <w:spacing w:line="240" w:lineRule="auto"/>
              <w:jc w:val="center"/>
              <w:rPr>
                <w:color w:val="000000"/>
                <w:sz w:val="16"/>
                <w:szCs w:val="16"/>
              </w:rPr>
            </w:pPr>
            <w:r>
              <w:rPr>
                <w:sz w:val="16"/>
                <w:szCs w:val="16"/>
              </w:rPr>
              <w:t>23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FE0DE82">
            <w:pPr>
              <w:spacing w:line="240" w:lineRule="auto"/>
              <w:rPr>
                <w:rFonts w:eastAsia="Times New Roman"/>
                <w:color w:val="000000"/>
                <w:sz w:val="16"/>
                <w:szCs w:val="16"/>
              </w:rPr>
            </w:pPr>
            <w:r>
              <w:rPr>
                <w:sz w:val="16"/>
                <w:szCs w:val="16"/>
              </w:rPr>
              <w:t>AV. GOVERNADOR JULIO CAMPOS - CENTRO ESPÍRITA LUZ</w:t>
            </w:r>
            <w:r>
              <w:rPr>
                <w:sz w:val="16"/>
                <w:szCs w:val="16"/>
              </w:rPr>
              <w:br w:type="textWrapping"/>
            </w:r>
            <w:r>
              <w:rPr>
                <w:sz w:val="16"/>
                <w:szCs w:val="16"/>
              </w:rPr>
              <w:t>DO CAMINHO - [Sentido: Bairro Centro]</w:t>
            </w:r>
          </w:p>
        </w:tc>
        <w:tc>
          <w:tcPr>
            <w:tcW w:w="1418" w:type="dxa"/>
            <w:tcBorders>
              <w:top w:val="single" w:color="auto" w:sz="4" w:space="0"/>
              <w:left w:val="single" w:color="auto" w:sz="4" w:space="0"/>
              <w:bottom w:val="single" w:color="auto" w:sz="4" w:space="0"/>
              <w:right w:val="single" w:color="auto" w:sz="4" w:space="0"/>
            </w:tcBorders>
            <w:vAlign w:val="center"/>
          </w:tcPr>
          <w:p w14:paraId="00C4F59A">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1F0EB64A">
            <w:pPr>
              <w:spacing w:line="240" w:lineRule="auto"/>
              <w:jc w:val="center"/>
              <w:rPr>
                <w:color w:val="000000"/>
                <w:sz w:val="16"/>
                <w:szCs w:val="16"/>
              </w:rPr>
            </w:pPr>
            <w:r>
              <w:rPr>
                <w:color w:val="000000"/>
                <w:sz w:val="16"/>
                <w:szCs w:val="16"/>
              </w:rPr>
              <w:t>2</w:t>
            </w:r>
          </w:p>
        </w:tc>
      </w:tr>
      <w:tr w14:paraId="070BD88F">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086B97A3">
            <w:pPr>
              <w:spacing w:line="240" w:lineRule="auto"/>
              <w:jc w:val="center"/>
              <w:rPr>
                <w:color w:val="000000"/>
                <w:sz w:val="16"/>
                <w:szCs w:val="16"/>
              </w:rPr>
            </w:pPr>
            <w:r>
              <w:rPr>
                <w:sz w:val="16"/>
                <w:szCs w:val="16"/>
              </w:rPr>
              <w:t>24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2A4F0CA">
            <w:pPr>
              <w:spacing w:line="240" w:lineRule="auto"/>
              <w:rPr>
                <w:rFonts w:eastAsia="Times New Roman"/>
                <w:color w:val="000000"/>
                <w:sz w:val="16"/>
                <w:szCs w:val="16"/>
              </w:rPr>
            </w:pPr>
            <w:r>
              <w:rPr>
                <w:sz w:val="16"/>
                <w:szCs w:val="16"/>
              </w:rPr>
              <w:t>AV. RIO BRANCO - BAIRRO JOSÉ SOBRINHO - CONVENIÊNCIA LDAA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2CB649CB">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839A8C1">
            <w:pPr>
              <w:spacing w:line="240" w:lineRule="auto"/>
              <w:jc w:val="center"/>
              <w:rPr>
                <w:color w:val="000000"/>
                <w:sz w:val="16"/>
                <w:szCs w:val="16"/>
              </w:rPr>
            </w:pPr>
            <w:r>
              <w:rPr>
                <w:color w:val="000000"/>
                <w:sz w:val="16"/>
                <w:szCs w:val="16"/>
              </w:rPr>
              <w:t>2</w:t>
            </w:r>
          </w:p>
        </w:tc>
      </w:tr>
      <w:tr w14:paraId="74808099">
        <w:tblPrEx>
          <w:tblCellMar>
            <w:top w:w="0" w:type="dxa"/>
            <w:left w:w="70" w:type="dxa"/>
            <w:bottom w:w="0" w:type="dxa"/>
            <w:right w:w="70" w:type="dxa"/>
          </w:tblCellMar>
        </w:tblPrEx>
        <w:trPr>
          <w:trHeight w:val="61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C7F990C">
            <w:pPr>
              <w:spacing w:line="240" w:lineRule="auto"/>
              <w:jc w:val="center"/>
              <w:rPr>
                <w:color w:val="000000"/>
                <w:sz w:val="16"/>
                <w:szCs w:val="16"/>
              </w:rPr>
            </w:pPr>
            <w:r>
              <w:rPr>
                <w:sz w:val="16"/>
                <w:szCs w:val="16"/>
              </w:rPr>
              <w:t>25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61F5CEA">
            <w:pPr>
              <w:spacing w:line="240" w:lineRule="auto"/>
              <w:rPr>
                <w:rFonts w:eastAsia="Times New Roman"/>
                <w:color w:val="000000"/>
                <w:sz w:val="16"/>
                <w:szCs w:val="16"/>
              </w:rPr>
            </w:pPr>
            <w:r>
              <w:rPr>
                <w:sz w:val="16"/>
                <w:szCs w:val="16"/>
              </w:rPr>
              <w:t>AV. RIO BRANCO - BAIRRO JOSÉ SOBRINHO - CONVENIÊNCIA LDAA -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2C3C6B14">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4E4B1AA">
            <w:pPr>
              <w:spacing w:line="240" w:lineRule="auto"/>
              <w:jc w:val="center"/>
              <w:rPr>
                <w:color w:val="000000"/>
                <w:sz w:val="16"/>
                <w:szCs w:val="16"/>
              </w:rPr>
            </w:pPr>
            <w:r>
              <w:rPr>
                <w:color w:val="000000"/>
                <w:sz w:val="16"/>
                <w:szCs w:val="16"/>
              </w:rPr>
              <w:t>2</w:t>
            </w:r>
          </w:p>
        </w:tc>
      </w:tr>
      <w:tr w14:paraId="71D2F1F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00D2767B">
            <w:pPr>
              <w:spacing w:line="240" w:lineRule="auto"/>
              <w:jc w:val="center"/>
              <w:rPr>
                <w:color w:val="000000"/>
                <w:sz w:val="16"/>
                <w:szCs w:val="16"/>
              </w:rPr>
            </w:pPr>
            <w:r>
              <w:rPr>
                <w:sz w:val="16"/>
                <w:szCs w:val="16"/>
              </w:rPr>
              <w:t>26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517FAC4">
            <w:pPr>
              <w:spacing w:line="240" w:lineRule="auto"/>
              <w:rPr>
                <w:rFonts w:eastAsia="Times New Roman"/>
                <w:color w:val="000000"/>
                <w:sz w:val="16"/>
                <w:szCs w:val="16"/>
              </w:rPr>
            </w:pPr>
            <w:r>
              <w:rPr>
                <w:sz w:val="16"/>
                <w:szCs w:val="16"/>
              </w:rPr>
              <w:t>AV. DOS ESTUDANTES - PRÓXIMO A ROTATÓRIA DO COND.</w:t>
            </w:r>
            <w:r>
              <w:rPr>
                <w:sz w:val="16"/>
                <w:szCs w:val="16"/>
              </w:rPr>
              <w:br w:type="textWrapping"/>
            </w:r>
            <w:r>
              <w:rPr>
                <w:sz w:val="16"/>
                <w:szCs w:val="16"/>
              </w:rPr>
              <w:t>VILLAGE DO CERRADO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23FBFFE2">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15943571">
            <w:pPr>
              <w:spacing w:line="240" w:lineRule="auto"/>
              <w:jc w:val="center"/>
              <w:rPr>
                <w:color w:val="000000"/>
                <w:sz w:val="16"/>
                <w:szCs w:val="16"/>
              </w:rPr>
            </w:pPr>
            <w:r>
              <w:rPr>
                <w:color w:val="000000"/>
                <w:sz w:val="16"/>
                <w:szCs w:val="16"/>
              </w:rPr>
              <w:t>2</w:t>
            </w:r>
          </w:p>
        </w:tc>
      </w:tr>
      <w:tr w14:paraId="3F4984C8">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498DAD2">
            <w:pPr>
              <w:spacing w:line="240" w:lineRule="auto"/>
              <w:jc w:val="center"/>
              <w:rPr>
                <w:color w:val="000000"/>
                <w:sz w:val="16"/>
                <w:szCs w:val="16"/>
              </w:rPr>
            </w:pPr>
            <w:r>
              <w:rPr>
                <w:sz w:val="16"/>
                <w:szCs w:val="16"/>
              </w:rPr>
              <w:t>27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70F7CF0">
            <w:pPr>
              <w:spacing w:line="240" w:lineRule="auto"/>
              <w:rPr>
                <w:rFonts w:eastAsia="Times New Roman"/>
                <w:color w:val="000000"/>
                <w:sz w:val="16"/>
                <w:szCs w:val="16"/>
              </w:rPr>
            </w:pPr>
            <w:r>
              <w:rPr>
                <w:sz w:val="16"/>
                <w:szCs w:val="16"/>
              </w:rPr>
              <w:t>AV. DOS ESTUDANTES - PRÓXIMO A ROTATÓRIA DO COND.</w:t>
            </w:r>
            <w:r>
              <w:rPr>
                <w:sz w:val="16"/>
                <w:szCs w:val="16"/>
              </w:rPr>
              <w:br w:type="textWrapping"/>
            </w:r>
            <w:r>
              <w:rPr>
                <w:sz w:val="16"/>
                <w:szCs w:val="16"/>
              </w:rPr>
              <w:t>VILLAGE DO CERRADO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6838C413">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4C6F247">
            <w:pPr>
              <w:spacing w:line="240" w:lineRule="auto"/>
              <w:jc w:val="center"/>
              <w:rPr>
                <w:color w:val="000000"/>
                <w:sz w:val="16"/>
                <w:szCs w:val="16"/>
              </w:rPr>
            </w:pPr>
            <w:r>
              <w:rPr>
                <w:color w:val="000000"/>
                <w:sz w:val="16"/>
                <w:szCs w:val="16"/>
              </w:rPr>
              <w:t>2</w:t>
            </w:r>
          </w:p>
        </w:tc>
      </w:tr>
      <w:tr w14:paraId="755E00F5">
        <w:tblPrEx>
          <w:tblCellMar>
            <w:top w:w="0" w:type="dxa"/>
            <w:left w:w="70" w:type="dxa"/>
            <w:bottom w:w="0" w:type="dxa"/>
            <w:right w:w="70" w:type="dxa"/>
          </w:tblCellMar>
        </w:tblPrEx>
        <w:trPr>
          <w:trHeight w:val="582"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0277B138">
            <w:pPr>
              <w:spacing w:line="240" w:lineRule="auto"/>
              <w:jc w:val="center"/>
              <w:rPr>
                <w:color w:val="000000"/>
                <w:sz w:val="16"/>
                <w:szCs w:val="16"/>
              </w:rPr>
            </w:pPr>
            <w:r>
              <w:rPr>
                <w:sz w:val="16"/>
                <w:szCs w:val="16"/>
              </w:rPr>
              <w:t>28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4D66C8A">
            <w:pPr>
              <w:spacing w:line="240" w:lineRule="auto"/>
              <w:rPr>
                <w:sz w:val="16"/>
                <w:szCs w:val="16"/>
              </w:rPr>
            </w:pPr>
            <w:r>
              <w:rPr>
                <w:sz w:val="16"/>
                <w:szCs w:val="16"/>
              </w:rPr>
              <w:t>Av. Dos bandeirantes altura 4200 prox Assaí Atacadista centro bairro</w:t>
            </w:r>
          </w:p>
        </w:tc>
        <w:tc>
          <w:tcPr>
            <w:tcW w:w="1418" w:type="dxa"/>
            <w:tcBorders>
              <w:top w:val="single" w:color="auto" w:sz="4" w:space="0"/>
              <w:left w:val="single" w:color="auto" w:sz="4" w:space="0"/>
              <w:bottom w:val="single" w:color="auto" w:sz="4" w:space="0"/>
              <w:right w:val="single" w:color="auto" w:sz="4" w:space="0"/>
            </w:tcBorders>
            <w:vAlign w:val="center"/>
          </w:tcPr>
          <w:p w14:paraId="710EB0A4">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5B9B717F">
            <w:pPr>
              <w:spacing w:line="240" w:lineRule="auto"/>
              <w:jc w:val="center"/>
              <w:rPr>
                <w:color w:val="000000"/>
                <w:sz w:val="16"/>
                <w:szCs w:val="16"/>
              </w:rPr>
            </w:pPr>
            <w:r>
              <w:rPr>
                <w:color w:val="000000"/>
                <w:sz w:val="16"/>
                <w:szCs w:val="16"/>
              </w:rPr>
              <w:t>2</w:t>
            </w:r>
          </w:p>
        </w:tc>
      </w:tr>
      <w:tr w14:paraId="4F352467">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2579F75">
            <w:pPr>
              <w:spacing w:line="240" w:lineRule="auto"/>
              <w:jc w:val="center"/>
              <w:rPr>
                <w:color w:val="000000"/>
                <w:sz w:val="16"/>
                <w:szCs w:val="16"/>
              </w:rPr>
            </w:pPr>
            <w:r>
              <w:rPr>
                <w:sz w:val="16"/>
                <w:szCs w:val="16"/>
              </w:rPr>
              <w:t>29</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68D0712">
            <w:pPr>
              <w:spacing w:line="240" w:lineRule="auto"/>
              <w:rPr>
                <w:sz w:val="16"/>
                <w:szCs w:val="16"/>
              </w:rPr>
            </w:pPr>
            <w:r>
              <w:rPr>
                <w:sz w:val="16"/>
                <w:szCs w:val="16"/>
              </w:rPr>
              <w:t>Av. Dos bandeirantes altura 4200 prox Assaí Atacadista Bairro Centro</w:t>
            </w:r>
          </w:p>
        </w:tc>
        <w:tc>
          <w:tcPr>
            <w:tcW w:w="1418" w:type="dxa"/>
            <w:tcBorders>
              <w:top w:val="single" w:color="auto" w:sz="4" w:space="0"/>
              <w:left w:val="single" w:color="auto" w:sz="4" w:space="0"/>
              <w:bottom w:val="single" w:color="auto" w:sz="4" w:space="0"/>
              <w:right w:val="single" w:color="auto" w:sz="4" w:space="0"/>
            </w:tcBorders>
            <w:vAlign w:val="center"/>
          </w:tcPr>
          <w:p w14:paraId="4B5526E3">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1CC1BB24">
            <w:pPr>
              <w:spacing w:line="240" w:lineRule="auto"/>
              <w:jc w:val="center"/>
              <w:rPr>
                <w:color w:val="000000"/>
                <w:sz w:val="16"/>
                <w:szCs w:val="16"/>
              </w:rPr>
            </w:pPr>
            <w:r>
              <w:rPr>
                <w:color w:val="000000"/>
                <w:sz w:val="16"/>
                <w:szCs w:val="16"/>
              </w:rPr>
              <w:t>2</w:t>
            </w:r>
          </w:p>
        </w:tc>
      </w:tr>
      <w:tr w14:paraId="3551BA51">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4C25278">
            <w:pPr>
              <w:spacing w:line="240" w:lineRule="auto"/>
              <w:jc w:val="center"/>
              <w:rPr>
                <w:color w:val="000000"/>
                <w:sz w:val="16"/>
                <w:szCs w:val="16"/>
              </w:rPr>
            </w:pPr>
            <w:r>
              <w:rPr>
                <w:sz w:val="16"/>
                <w:szCs w:val="16"/>
              </w:rPr>
              <w:t>30</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DE29145">
            <w:pPr>
              <w:spacing w:line="240" w:lineRule="auto"/>
              <w:rPr>
                <w:sz w:val="16"/>
                <w:szCs w:val="16"/>
              </w:rPr>
            </w:pPr>
            <w:r>
              <w:rPr>
                <w:sz w:val="16"/>
                <w:szCs w:val="16"/>
              </w:rPr>
              <w:t>RUA CORREDOR PÚBLICO</w:t>
            </w:r>
          </w:p>
        </w:tc>
        <w:tc>
          <w:tcPr>
            <w:tcW w:w="1418" w:type="dxa"/>
            <w:tcBorders>
              <w:top w:val="single" w:color="auto" w:sz="4" w:space="0"/>
              <w:left w:val="single" w:color="auto" w:sz="4" w:space="0"/>
              <w:bottom w:val="single" w:color="auto" w:sz="4" w:space="0"/>
              <w:right w:val="single" w:color="auto" w:sz="4" w:space="0"/>
            </w:tcBorders>
            <w:vAlign w:val="center"/>
          </w:tcPr>
          <w:p w14:paraId="27EBEF71">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14D80C5">
            <w:pPr>
              <w:spacing w:line="240" w:lineRule="auto"/>
              <w:jc w:val="center"/>
              <w:rPr>
                <w:color w:val="000000"/>
                <w:sz w:val="16"/>
                <w:szCs w:val="16"/>
              </w:rPr>
            </w:pPr>
            <w:r>
              <w:rPr>
                <w:color w:val="000000"/>
                <w:sz w:val="16"/>
                <w:szCs w:val="16"/>
              </w:rPr>
              <w:t>2</w:t>
            </w:r>
          </w:p>
        </w:tc>
      </w:tr>
      <w:tr w14:paraId="1D2CC99A">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1B658A79">
            <w:pPr>
              <w:spacing w:line="240" w:lineRule="auto"/>
              <w:jc w:val="center"/>
              <w:rPr>
                <w:color w:val="000000"/>
                <w:sz w:val="16"/>
                <w:szCs w:val="16"/>
              </w:rPr>
            </w:pPr>
            <w:r>
              <w:rPr>
                <w:sz w:val="16"/>
                <w:szCs w:val="16"/>
              </w:rPr>
              <w:t>31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17DFDA7">
            <w:pPr>
              <w:spacing w:line="240" w:lineRule="auto"/>
              <w:rPr>
                <w:sz w:val="16"/>
                <w:szCs w:val="16"/>
              </w:rPr>
            </w:pPr>
            <w:r>
              <w:rPr>
                <w:sz w:val="16"/>
                <w:szCs w:val="16"/>
              </w:rPr>
              <w:t>AV DOS ESTUDANTES PROX 2° CIRETRAN BAIRRO CENTRO</w:t>
            </w:r>
          </w:p>
        </w:tc>
        <w:tc>
          <w:tcPr>
            <w:tcW w:w="1418" w:type="dxa"/>
            <w:tcBorders>
              <w:top w:val="single" w:color="auto" w:sz="4" w:space="0"/>
              <w:left w:val="single" w:color="auto" w:sz="4" w:space="0"/>
              <w:bottom w:val="single" w:color="auto" w:sz="4" w:space="0"/>
              <w:right w:val="single" w:color="auto" w:sz="4" w:space="0"/>
            </w:tcBorders>
            <w:vAlign w:val="center"/>
          </w:tcPr>
          <w:p w14:paraId="7978C442">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90E1AF4">
            <w:pPr>
              <w:spacing w:line="240" w:lineRule="auto"/>
              <w:jc w:val="center"/>
              <w:rPr>
                <w:color w:val="000000"/>
                <w:sz w:val="16"/>
                <w:szCs w:val="16"/>
              </w:rPr>
            </w:pPr>
            <w:r>
              <w:rPr>
                <w:color w:val="000000"/>
                <w:sz w:val="16"/>
                <w:szCs w:val="16"/>
              </w:rPr>
              <w:t>2</w:t>
            </w:r>
          </w:p>
        </w:tc>
      </w:tr>
      <w:tr w14:paraId="23BE8A74">
        <w:tblPrEx>
          <w:tblCellMar>
            <w:top w:w="0" w:type="dxa"/>
            <w:left w:w="70" w:type="dxa"/>
            <w:bottom w:w="0" w:type="dxa"/>
            <w:right w:w="70" w:type="dxa"/>
          </w:tblCellMar>
        </w:tblPrEx>
        <w:trPr>
          <w:trHeight w:val="72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A3ECCF2">
            <w:pPr>
              <w:spacing w:line="240" w:lineRule="auto"/>
              <w:jc w:val="center"/>
              <w:rPr>
                <w:color w:val="000000"/>
                <w:sz w:val="16"/>
                <w:szCs w:val="16"/>
              </w:rPr>
            </w:pPr>
            <w:r>
              <w:rPr>
                <w:sz w:val="16"/>
                <w:szCs w:val="16"/>
              </w:rPr>
              <w:t>32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6493C00">
            <w:pPr>
              <w:spacing w:line="240" w:lineRule="auto"/>
              <w:rPr>
                <w:sz w:val="16"/>
                <w:szCs w:val="16"/>
              </w:rPr>
            </w:pPr>
            <w:r>
              <w:rPr>
                <w:sz w:val="16"/>
                <w:szCs w:val="16"/>
              </w:rPr>
              <w:t>AV DOS ESTUDANTES PROX 2° CIRETRAN CENTRO BAIRRO</w:t>
            </w:r>
          </w:p>
        </w:tc>
        <w:tc>
          <w:tcPr>
            <w:tcW w:w="1418" w:type="dxa"/>
            <w:tcBorders>
              <w:top w:val="single" w:color="auto" w:sz="4" w:space="0"/>
              <w:left w:val="single" w:color="auto" w:sz="4" w:space="0"/>
              <w:bottom w:val="single" w:color="auto" w:sz="4" w:space="0"/>
              <w:right w:val="single" w:color="auto" w:sz="4" w:space="0"/>
            </w:tcBorders>
            <w:vAlign w:val="center"/>
          </w:tcPr>
          <w:p w14:paraId="328FAEE8">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4D35CB21">
            <w:pPr>
              <w:spacing w:line="240" w:lineRule="auto"/>
              <w:jc w:val="center"/>
              <w:rPr>
                <w:color w:val="000000"/>
                <w:sz w:val="16"/>
                <w:szCs w:val="16"/>
              </w:rPr>
            </w:pPr>
            <w:r>
              <w:rPr>
                <w:color w:val="000000"/>
                <w:sz w:val="16"/>
                <w:szCs w:val="16"/>
              </w:rPr>
              <w:t>2</w:t>
            </w:r>
          </w:p>
        </w:tc>
      </w:tr>
      <w:tr w14:paraId="28CEDCBD">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FD25955">
            <w:pPr>
              <w:spacing w:line="240" w:lineRule="auto"/>
              <w:jc w:val="center"/>
              <w:rPr>
                <w:color w:val="000000"/>
                <w:sz w:val="16"/>
                <w:szCs w:val="16"/>
              </w:rPr>
            </w:pPr>
            <w:r>
              <w:rPr>
                <w:sz w:val="16"/>
                <w:szCs w:val="16"/>
              </w:rPr>
              <w:t>33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3B9FFE0">
            <w:pPr>
              <w:spacing w:line="240" w:lineRule="auto"/>
              <w:rPr>
                <w:sz w:val="16"/>
                <w:szCs w:val="16"/>
              </w:rPr>
            </w:pPr>
            <w:r>
              <w:rPr>
                <w:sz w:val="16"/>
                <w:szCs w:val="16"/>
              </w:rPr>
              <w:t>AV JOSE PINTO, ALT 500</w:t>
            </w:r>
          </w:p>
        </w:tc>
        <w:tc>
          <w:tcPr>
            <w:tcW w:w="1418" w:type="dxa"/>
            <w:tcBorders>
              <w:top w:val="single" w:color="auto" w:sz="4" w:space="0"/>
              <w:left w:val="single" w:color="auto" w:sz="4" w:space="0"/>
              <w:bottom w:val="single" w:color="auto" w:sz="4" w:space="0"/>
              <w:right w:val="single" w:color="auto" w:sz="4" w:space="0"/>
            </w:tcBorders>
            <w:vAlign w:val="center"/>
          </w:tcPr>
          <w:p w14:paraId="319A00BA">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C1ABCED">
            <w:pPr>
              <w:spacing w:line="240" w:lineRule="auto"/>
              <w:jc w:val="center"/>
              <w:rPr>
                <w:color w:val="000000"/>
                <w:sz w:val="16"/>
                <w:szCs w:val="16"/>
              </w:rPr>
            </w:pPr>
            <w:r>
              <w:rPr>
                <w:color w:val="000000"/>
                <w:sz w:val="16"/>
                <w:szCs w:val="16"/>
              </w:rPr>
              <w:t>2</w:t>
            </w:r>
          </w:p>
        </w:tc>
      </w:tr>
      <w:tr w14:paraId="20147200">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2F71641">
            <w:pPr>
              <w:spacing w:line="240" w:lineRule="auto"/>
              <w:jc w:val="center"/>
              <w:rPr>
                <w:color w:val="000000"/>
                <w:sz w:val="16"/>
                <w:szCs w:val="16"/>
              </w:rPr>
            </w:pPr>
            <w:r>
              <w:rPr>
                <w:sz w:val="16"/>
                <w:szCs w:val="16"/>
              </w:rPr>
              <w:t>34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C1D7C0C">
            <w:pPr>
              <w:spacing w:line="240" w:lineRule="auto"/>
              <w:rPr>
                <w:sz w:val="16"/>
                <w:szCs w:val="16"/>
              </w:rPr>
            </w:pPr>
            <w:r>
              <w:rPr>
                <w:sz w:val="16"/>
                <w:szCs w:val="16"/>
              </w:rPr>
              <w:t>AV. JOSE PINTO, ALT 1300</w:t>
            </w:r>
          </w:p>
        </w:tc>
        <w:tc>
          <w:tcPr>
            <w:tcW w:w="1418" w:type="dxa"/>
            <w:tcBorders>
              <w:top w:val="single" w:color="auto" w:sz="4" w:space="0"/>
              <w:left w:val="single" w:color="auto" w:sz="4" w:space="0"/>
              <w:bottom w:val="single" w:color="auto" w:sz="4" w:space="0"/>
              <w:right w:val="single" w:color="auto" w:sz="4" w:space="0"/>
            </w:tcBorders>
            <w:vAlign w:val="center"/>
          </w:tcPr>
          <w:p w14:paraId="122CE0A8">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5EB35017">
            <w:pPr>
              <w:spacing w:line="240" w:lineRule="auto"/>
              <w:jc w:val="center"/>
              <w:rPr>
                <w:color w:val="000000"/>
                <w:sz w:val="16"/>
                <w:szCs w:val="16"/>
              </w:rPr>
            </w:pPr>
            <w:r>
              <w:rPr>
                <w:color w:val="000000"/>
                <w:sz w:val="16"/>
                <w:szCs w:val="16"/>
              </w:rPr>
              <w:t>2</w:t>
            </w:r>
          </w:p>
        </w:tc>
      </w:tr>
      <w:tr w14:paraId="2C241538">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B663634">
            <w:pPr>
              <w:spacing w:line="240" w:lineRule="auto"/>
              <w:jc w:val="center"/>
              <w:rPr>
                <w:color w:val="000000"/>
                <w:sz w:val="16"/>
                <w:szCs w:val="16"/>
                <w:highlight w:val="yellow"/>
              </w:rPr>
            </w:pPr>
            <w:r>
              <w:rPr>
                <w:sz w:val="16"/>
                <w:szCs w:val="16"/>
              </w:rPr>
              <w:t>35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B3A3851">
            <w:pPr>
              <w:spacing w:line="240" w:lineRule="auto"/>
              <w:rPr>
                <w:sz w:val="16"/>
                <w:szCs w:val="16"/>
              </w:rPr>
            </w:pPr>
            <w:r>
              <w:rPr>
                <w:sz w:val="16"/>
                <w:szCs w:val="16"/>
              </w:rPr>
              <w:t>AV DOS ESTUDANTES PROX AV RIO BEIRA RIO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738F4394">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5A2081E5">
            <w:pPr>
              <w:spacing w:line="240" w:lineRule="auto"/>
              <w:jc w:val="center"/>
              <w:rPr>
                <w:color w:val="000000"/>
                <w:sz w:val="16"/>
                <w:szCs w:val="16"/>
              </w:rPr>
            </w:pPr>
            <w:r>
              <w:rPr>
                <w:color w:val="000000"/>
                <w:sz w:val="16"/>
                <w:szCs w:val="16"/>
              </w:rPr>
              <w:t>2</w:t>
            </w:r>
          </w:p>
        </w:tc>
      </w:tr>
      <w:tr w14:paraId="62A1ADD5">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F4ED5D0">
            <w:pPr>
              <w:spacing w:line="240" w:lineRule="auto"/>
              <w:jc w:val="center"/>
              <w:rPr>
                <w:color w:val="000000"/>
                <w:sz w:val="16"/>
                <w:szCs w:val="16"/>
                <w:highlight w:val="yellow"/>
              </w:rPr>
            </w:pPr>
            <w:r>
              <w:rPr>
                <w:sz w:val="16"/>
                <w:szCs w:val="16"/>
              </w:rPr>
              <w:t>36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E6D8FEA">
            <w:pPr>
              <w:spacing w:line="240" w:lineRule="auto"/>
              <w:rPr>
                <w:sz w:val="16"/>
                <w:szCs w:val="16"/>
              </w:rPr>
            </w:pPr>
            <w:r>
              <w:rPr>
                <w:sz w:val="16"/>
                <w:szCs w:val="16"/>
              </w:rPr>
              <w:t>AV DOS ESTUDANTES PROX AV RIO BEIRA RIO -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1C36C785">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C91060A">
            <w:pPr>
              <w:spacing w:line="240" w:lineRule="auto"/>
              <w:jc w:val="center"/>
              <w:rPr>
                <w:color w:val="000000"/>
                <w:sz w:val="16"/>
                <w:szCs w:val="16"/>
              </w:rPr>
            </w:pPr>
            <w:r>
              <w:rPr>
                <w:color w:val="000000"/>
                <w:sz w:val="16"/>
                <w:szCs w:val="16"/>
              </w:rPr>
              <w:t>2</w:t>
            </w:r>
          </w:p>
        </w:tc>
      </w:tr>
      <w:tr w14:paraId="4954B746">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F96BC7D">
            <w:pPr>
              <w:spacing w:line="240" w:lineRule="auto"/>
              <w:jc w:val="center"/>
              <w:rPr>
                <w:color w:val="000000"/>
                <w:sz w:val="16"/>
                <w:szCs w:val="16"/>
                <w:highlight w:val="yellow"/>
              </w:rPr>
            </w:pPr>
            <w:r>
              <w:rPr>
                <w:sz w:val="16"/>
                <w:szCs w:val="16"/>
              </w:rPr>
              <w:t>37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4C9E7C6">
            <w:pPr>
              <w:spacing w:line="240" w:lineRule="auto"/>
              <w:rPr>
                <w:sz w:val="16"/>
                <w:szCs w:val="16"/>
              </w:rPr>
            </w:pPr>
            <w:r>
              <w:rPr>
                <w:sz w:val="16"/>
                <w:szCs w:val="16"/>
              </w:rPr>
              <w:t>AV RUI BARBOSA PROX R FERNANDO CORRÊA DA COSTA -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50CD3AD2">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C56645A">
            <w:pPr>
              <w:spacing w:line="240" w:lineRule="auto"/>
              <w:jc w:val="center"/>
              <w:rPr>
                <w:color w:val="000000"/>
                <w:sz w:val="16"/>
                <w:szCs w:val="16"/>
              </w:rPr>
            </w:pPr>
            <w:r>
              <w:rPr>
                <w:color w:val="000000"/>
                <w:sz w:val="16"/>
                <w:szCs w:val="16"/>
              </w:rPr>
              <w:t>2</w:t>
            </w:r>
          </w:p>
        </w:tc>
      </w:tr>
      <w:tr w14:paraId="3AA1B74D">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207C588">
            <w:pPr>
              <w:spacing w:line="240" w:lineRule="auto"/>
              <w:jc w:val="center"/>
              <w:rPr>
                <w:color w:val="000000"/>
                <w:sz w:val="16"/>
                <w:szCs w:val="16"/>
                <w:highlight w:val="yellow"/>
              </w:rPr>
            </w:pPr>
            <w:r>
              <w:rPr>
                <w:sz w:val="16"/>
                <w:szCs w:val="16"/>
              </w:rPr>
              <w:t>38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F31C8BA">
            <w:pPr>
              <w:spacing w:line="240" w:lineRule="auto"/>
              <w:rPr>
                <w:sz w:val="16"/>
                <w:szCs w:val="16"/>
              </w:rPr>
            </w:pPr>
            <w:r>
              <w:rPr>
                <w:sz w:val="16"/>
                <w:szCs w:val="16"/>
              </w:rPr>
              <w:t>AV RUI BARBOSA PROX R FERNANDO CORRÊA DA COSTA -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03EE44A4">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6CBFC7A">
            <w:pPr>
              <w:spacing w:line="240" w:lineRule="auto"/>
              <w:jc w:val="center"/>
              <w:rPr>
                <w:color w:val="000000"/>
                <w:sz w:val="16"/>
                <w:szCs w:val="16"/>
              </w:rPr>
            </w:pPr>
            <w:r>
              <w:rPr>
                <w:color w:val="000000"/>
                <w:sz w:val="16"/>
                <w:szCs w:val="16"/>
              </w:rPr>
              <w:t>2</w:t>
            </w:r>
          </w:p>
        </w:tc>
      </w:tr>
      <w:tr w14:paraId="2A8A2F8D">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901DCC9">
            <w:pPr>
              <w:spacing w:line="240" w:lineRule="auto"/>
              <w:jc w:val="center"/>
              <w:rPr>
                <w:color w:val="000000"/>
                <w:sz w:val="16"/>
                <w:szCs w:val="16"/>
                <w:highlight w:val="yellow"/>
              </w:rPr>
            </w:pPr>
            <w:r>
              <w:rPr>
                <w:sz w:val="16"/>
                <w:szCs w:val="16"/>
              </w:rPr>
              <w:t>39</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78006BB">
            <w:pPr>
              <w:spacing w:line="240" w:lineRule="auto"/>
              <w:rPr>
                <w:sz w:val="16"/>
                <w:szCs w:val="16"/>
              </w:rPr>
            </w:pPr>
            <w:r>
              <w:rPr>
                <w:sz w:val="16"/>
                <w:szCs w:val="16"/>
              </w:rPr>
              <w:t>AV PRESIDENTE KENNEDY PROX R ERLAN ROSA DOS SANTOS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558EE323">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5ACA030">
            <w:pPr>
              <w:spacing w:line="240" w:lineRule="auto"/>
              <w:jc w:val="center"/>
              <w:rPr>
                <w:color w:val="000000"/>
                <w:sz w:val="16"/>
                <w:szCs w:val="16"/>
              </w:rPr>
            </w:pPr>
            <w:r>
              <w:rPr>
                <w:color w:val="000000"/>
                <w:sz w:val="16"/>
                <w:szCs w:val="16"/>
              </w:rPr>
              <w:t>2</w:t>
            </w:r>
          </w:p>
        </w:tc>
      </w:tr>
      <w:tr w14:paraId="4717EF46">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124EED19">
            <w:pPr>
              <w:spacing w:line="240" w:lineRule="auto"/>
              <w:jc w:val="center"/>
              <w:rPr>
                <w:color w:val="000000"/>
                <w:sz w:val="16"/>
                <w:szCs w:val="16"/>
                <w:highlight w:val="yellow"/>
              </w:rPr>
            </w:pPr>
            <w:r>
              <w:rPr>
                <w:sz w:val="16"/>
                <w:szCs w:val="16"/>
              </w:rPr>
              <w:t>40</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8EA8662">
            <w:pPr>
              <w:spacing w:line="240" w:lineRule="auto"/>
              <w:rPr>
                <w:sz w:val="16"/>
                <w:szCs w:val="16"/>
              </w:rPr>
            </w:pPr>
            <w:r>
              <w:rPr>
                <w:sz w:val="16"/>
                <w:szCs w:val="16"/>
              </w:rPr>
              <w:t>AV PRESIDENTE KENNEDY PROX R ERLAN ROSA DOS SANTOS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5832678B">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20BB28C6">
            <w:pPr>
              <w:spacing w:line="240" w:lineRule="auto"/>
              <w:jc w:val="center"/>
              <w:rPr>
                <w:color w:val="000000"/>
                <w:sz w:val="16"/>
                <w:szCs w:val="16"/>
              </w:rPr>
            </w:pPr>
            <w:r>
              <w:rPr>
                <w:color w:val="000000"/>
                <w:sz w:val="16"/>
                <w:szCs w:val="16"/>
              </w:rPr>
              <w:t>2</w:t>
            </w:r>
          </w:p>
        </w:tc>
      </w:tr>
      <w:tr w14:paraId="7B9BD53D">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C4324DF">
            <w:pPr>
              <w:spacing w:line="240" w:lineRule="auto"/>
              <w:jc w:val="center"/>
              <w:rPr>
                <w:color w:val="000000"/>
                <w:sz w:val="16"/>
                <w:szCs w:val="16"/>
                <w:highlight w:val="yellow"/>
              </w:rPr>
            </w:pPr>
            <w:r>
              <w:rPr>
                <w:sz w:val="16"/>
                <w:szCs w:val="16"/>
              </w:rPr>
              <w:t>41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6EA740D">
            <w:pPr>
              <w:spacing w:line="240" w:lineRule="auto"/>
              <w:rPr>
                <w:sz w:val="16"/>
                <w:szCs w:val="16"/>
              </w:rPr>
            </w:pPr>
            <w:r>
              <w:rPr>
                <w:sz w:val="16"/>
                <w:szCs w:val="16"/>
              </w:rPr>
              <w:t>AV AMAZONAS PROX R AFONSO PENA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5B72E612">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1F12817">
            <w:pPr>
              <w:spacing w:line="240" w:lineRule="auto"/>
              <w:jc w:val="center"/>
              <w:rPr>
                <w:color w:val="000000"/>
                <w:sz w:val="16"/>
                <w:szCs w:val="16"/>
              </w:rPr>
            </w:pPr>
            <w:r>
              <w:rPr>
                <w:color w:val="000000"/>
                <w:sz w:val="16"/>
                <w:szCs w:val="16"/>
              </w:rPr>
              <w:t>2</w:t>
            </w:r>
          </w:p>
        </w:tc>
      </w:tr>
      <w:tr w14:paraId="1E07C7FC">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4509207">
            <w:pPr>
              <w:spacing w:line="240" w:lineRule="auto"/>
              <w:jc w:val="center"/>
              <w:rPr>
                <w:color w:val="000000"/>
                <w:sz w:val="16"/>
                <w:szCs w:val="16"/>
                <w:highlight w:val="yellow"/>
              </w:rPr>
            </w:pPr>
            <w:r>
              <w:rPr>
                <w:sz w:val="16"/>
                <w:szCs w:val="16"/>
              </w:rPr>
              <w:t>42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1FEDC9A">
            <w:pPr>
              <w:spacing w:line="240" w:lineRule="auto"/>
              <w:rPr>
                <w:sz w:val="16"/>
                <w:szCs w:val="16"/>
              </w:rPr>
            </w:pPr>
            <w:r>
              <w:rPr>
                <w:sz w:val="16"/>
                <w:szCs w:val="16"/>
              </w:rPr>
              <w:t>AV AMAZONAS PROX R AFONSO PENA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6961D36A">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8F870AF">
            <w:pPr>
              <w:spacing w:line="240" w:lineRule="auto"/>
              <w:jc w:val="center"/>
              <w:rPr>
                <w:color w:val="000000"/>
                <w:sz w:val="16"/>
                <w:szCs w:val="16"/>
              </w:rPr>
            </w:pPr>
            <w:r>
              <w:rPr>
                <w:color w:val="000000"/>
                <w:sz w:val="16"/>
                <w:szCs w:val="16"/>
              </w:rPr>
              <w:t>2</w:t>
            </w:r>
          </w:p>
        </w:tc>
      </w:tr>
      <w:tr w14:paraId="5A77A76E">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B8FE34B">
            <w:pPr>
              <w:spacing w:line="240" w:lineRule="auto"/>
              <w:jc w:val="center"/>
              <w:rPr>
                <w:color w:val="000000"/>
                <w:sz w:val="16"/>
                <w:szCs w:val="16"/>
                <w:highlight w:val="yellow"/>
              </w:rPr>
            </w:pPr>
            <w:r>
              <w:rPr>
                <w:sz w:val="16"/>
                <w:szCs w:val="16"/>
              </w:rPr>
              <w:t>43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A0F786E">
            <w:pPr>
              <w:spacing w:line="240" w:lineRule="auto"/>
              <w:rPr>
                <w:sz w:val="16"/>
                <w:szCs w:val="16"/>
              </w:rPr>
            </w:pPr>
            <w:r>
              <w:rPr>
                <w:sz w:val="16"/>
                <w:szCs w:val="16"/>
              </w:rPr>
              <w:t>AV ARY COELHO PROX AV RACHIDE MAMEDE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4E8BF90A">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ADDCFBE">
            <w:pPr>
              <w:spacing w:line="240" w:lineRule="auto"/>
              <w:jc w:val="center"/>
              <w:rPr>
                <w:color w:val="000000"/>
                <w:sz w:val="16"/>
                <w:szCs w:val="16"/>
              </w:rPr>
            </w:pPr>
            <w:r>
              <w:rPr>
                <w:color w:val="000000"/>
                <w:sz w:val="16"/>
                <w:szCs w:val="16"/>
              </w:rPr>
              <w:t>2</w:t>
            </w:r>
          </w:p>
        </w:tc>
      </w:tr>
      <w:tr w14:paraId="371D1C0F">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B5F0718">
            <w:pPr>
              <w:spacing w:line="240" w:lineRule="auto"/>
              <w:jc w:val="center"/>
              <w:rPr>
                <w:color w:val="000000"/>
                <w:sz w:val="16"/>
                <w:szCs w:val="16"/>
                <w:highlight w:val="yellow"/>
              </w:rPr>
            </w:pPr>
            <w:r>
              <w:rPr>
                <w:sz w:val="16"/>
                <w:szCs w:val="16"/>
              </w:rPr>
              <w:t>44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79FFF48">
            <w:pPr>
              <w:spacing w:line="240" w:lineRule="auto"/>
              <w:rPr>
                <w:sz w:val="16"/>
                <w:szCs w:val="16"/>
              </w:rPr>
            </w:pPr>
            <w:r>
              <w:rPr>
                <w:sz w:val="16"/>
                <w:szCs w:val="16"/>
              </w:rPr>
              <w:t>AV ARY COELHO PROX AV RACHIDE MAMEDE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601145A5">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11A9B8A4">
            <w:pPr>
              <w:spacing w:line="240" w:lineRule="auto"/>
              <w:jc w:val="center"/>
              <w:rPr>
                <w:color w:val="000000"/>
                <w:sz w:val="16"/>
                <w:szCs w:val="16"/>
              </w:rPr>
            </w:pPr>
            <w:r>
              <w:rPr>
                <w:color w:val="000000"/>
                <w:sz w:val="16"/>
                <w:szCs w:val="16"/>
              </w:rPr>
              <w:t>2</w:t>
            </w:r>
          </w:p>
        </w:tc>
      </w:tr>
      <w:tr w14:paraId="0DEFF29A">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2CA32EE">
            <w:pPr>
              <w:spacing w:line="240" w:lineRule="auto"/>
              <w:jc w:val="center"/>
              <w:rPr>
                <w:color w:val="000000"/>
                <w:sz w:val="16"/>
                <w:szCs w:val="16"/>
                <w:highlight w:val="yellow"/>
              </w:rPr>
            </w:pPr>
            <w:r>
              <w:rPr>
                <w:sz w:val="16"/>
                <w:szCs w:val="16"/>
              </w:rPr>
              <w:t>45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210B93D">
            <w:pPr>
              <w:spacing w:line="240" w:lineRule="auto"/>
              <w:rPr>
                <w:sz w:val="16"/>
                <w:szCs w:val="16"/>
              </w:rPr>
            </w:pPr>
            <w:r>
              <w:rPr>
                <w:sz w:val="16"/>
                <w:szCs w:val="16"/>
              </w:rPr>
              <w:t>AV ARAPONGAS PROX R BEM TE VI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669F3ED6">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063A843E">
            <w:pPr>
              <w:spacing w:line="240" w:lineRule="auto"/>
              <w:jc w:val="center"/>
              <w:rPr>
                <w:color w:val="000000"/>
                <w:sz w:val="16"/>
                <w:szCs w:val="16"/>
              </w:rPr>
            </w:pPr>
            <w:r>
              <w:rPr>
                <w:color w:val="000000"/>
                <w:sz w:val="16"/>
                <w:szCs w:val="16"/>
              </w:rPr>
              <w:t>2</w:t>
            </w:r>
          </w:p>
        </w:tc>
      </w:tr>
      <w:tr w14:paraId="39691642">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93ABAA3">
            <w:pPr>
              <w:spacing w:line="240" w:lineRule="auto"/>
              <w:jc w:val="center"/>
              <w:rPr>
                <w:color w:val="000000"/>
                <w:sz w:val="16"/>
                <w:szCs w:val="16"/>
                <w:highlight w:val="yellow"/>
              </w:rPr>
            </w:pPr>
            <w:r>
              <w:rPr>
                <w:sz w:val="16"/>
                <w:szCs w:val="16"/>
              </w:rPr>
              <w:t>46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D16DDFF">
            <w:pPr>
              <w:spacing w:line="240" w:lineRule="auto"/>
              <w:rPr>
                <w:sz w:val="16"/>
                <w:szCs w:val="16"/>
              </w:rPr>
            </w:pPr>
            <w:r>
              <w:rPr>
                <w:sz w:val="16"/>
                <w:szCs w:val="16"/>
              </w:rPr>
              <w:t>AV ARAPONGAS PROX R BEM TE VI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214F7739">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009D9BA7">
            <w:pPr>
              <w:spacing w:line="240" w:lineRule="auto"/>
              <w:jc w:val="center"/>
              <w:rPr>
                <w:color w:val="000000"/>
                <w:sz w:val="16"/>
                <w:szCs w:val="16"/>
              </w:rPr>
            </w:pPr>
            <w:r>
              <w:rPr>
                <w:color w:val="000000"/>
                <w:sz w:val="16"/>
                <w:szCs w:val="16"/>
              </w:rPr>
              <w:t>2</w:t>
            </w:r>
          </w:p>
        </w:tc>
      </w:tr>
      <w:tr w14:paraId="38FA43E9">
        <w:tblPrEx>
          <w:tblCellMar>
            <w:top w:w="0" w:type="dxa"/>
            <w:left w:w="70" w:type="dxa"/>
            <w:bottom w:w="0" w:type="dxa"/>
            <w:right w:w="70" w:type="dxa"/>
          </w:tblCellMar>
        </w:tblPrEx>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0F87AB7C">
            <w:pPr>
              <w:spacing w:line="240" w:lineRule="auto"/>
              <w:jc w:val="center"/>
              <w:rPr>
                <w:color w:val="000000"/>
                <w:sz w:val="16"/>
                <w:szCs w:val="16"/>
                <w:highlight w:val="yellow"/>
              </w:rPr>
            </w:pPr>
            <w:r>
              <w:rPr>
                <w:sz w:val="16"/>
                <w:szCs w:val="16"/>
              </w:rPr>
              <w:t>47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62CA7A41">
            <w:pPr>
              <w:spacing w:line="240" w:lineRule="auto"/>
              <w:rPr>
                <w:sz w:val="16"/>
                <w:szCs w:val="16"/>
              </w:rPr>
            </w:pPr>
            <w:r>
              <w:rPr>
                <w:sz w:val="16"/>
                <w:szCs w:val="16"/>
              </w:rPr>
              <w:t>AV ANTÔNIO TEIXEIRA DOS SANTOS PROX R CURIÓ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0CC0F106">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60EB2BC0">
            <w:pPr>
              <w:spacing w:line="240" w:lineRule="auto"/>
              <w:jc w:val="center"/>
              <w:rPr>
                <w:color w:val="000000"/>
                <w:sz w:val="16"/>
                <w:szCs w:val="16"/>
              </w:rPr>
            </w:pPr>
            <w:r>
              <w:rPr>
                <w:color w:val="000000"/>
                <w:sz w:val="16"/>
                <w:szCs w:val="16"/>
              </w:rPr>
              <w:t>2</w:t>
            </w:r>
          </w:p>
        </w:tc>
      </w:tr>
      <w:tr w14:paraId="58FD5927">
        <w:trPr>
          <w:trHeight w:val="589"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40C0F58">
            <w:pPr>
              <w:spacing w:line="240" w:lineRule="auto"/>
              <w:jc w:val="center"/>
              <w:rPr>
                <w:color w:val="000000"/>
                <w:sz w:val="16"/>
                <w:szCs w:val="16"/>
                <w:highlight w:val="yellow"/>
              </w:rPr>
            </w:pPr>
            <w:r>
              <w:rPr>
                <w:sz w:val="16"/>
                <w:szCs w:val="16"/>
              </w:rPr>
              <w:t>48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DB58AAC">
            <w:pPr>
              <w:spacing w:line="240" w:lineRule="auto"/>
              <w:rPr>
                <w:sz w:val="16"/>
                <w:szCs w:val="16"/>
              </w:rPr>
            </w:pPr>
            <w:r>
              <w:rPr>
                <w:sz w:val="16"/>
                <w:szCs w:val="16"/>
              </w:rPr>
              <w:t>AV ANTÔNIO TEIXEIRA DOS SANTOS PROX R CURIÓ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0895AAF3">
            <w:pPr>
              <w:spacing w:line="240" w:lineRule="auto"/>
              <w:jc w:val="center"/>
              <w:rPr>
                <w:sz w:val="16"/>
                <w:szCs w:val="16"/>
              </w:rPr>
            </w:pPr>
            <w:r>
              <w:rPr>
                <w:sz w:val="16"/>
                <w:szCs w:val="16"/>
              </w:rPr>
              <w:t>RADAR FIXO</w:t>
            </w:r>
          </w:p>
        </w:tc>
        <w:tc>
          <w:tcPr>
            <w:tcW w:w="1134" w:type="dxa"/>
            <w:tcBorders>
              <w:top w:val="single" w:color="auto" w:sz="4" w:space="0"/>
              <w:left w:val="single" w:color="auto" w:sz="4" w:space="0"/>
              <w:bottom w:val="single" w:color="auto" w:sz="4" w:space="0"/>
              <w:right w:val="single" w:color="auto" w:sz="4" w:space="0"/>
            </w:tcBorders>
            <w:vAlign w:val="center"/>
          </w:tcPr>
          <w:p w14:paraId="70CBE42C">
            <w:pPr>
              <w:spacing w:line="240" w:lineRule="auto"/>
              <w:jc w:val="center"/>
              <w:rPr>
                <w:color w:val="000000"/>
                <w:sz w:val="16"/>
                <w:szCs w:val="16"/>
              </w:rPr>
            </w:pPr>
            <w:r>
              <w:rPr>
                <w:color w:val="000000"/>
                <w:sz w:val="16"/>
                <w:szCs w:val="16"/>
              </w:rPr>
              <w:t>2</w:t>
            </w:r>
          </w:p>
        </w:tc>
      </w:tr>
      <w:tr w14:paraId="031125D8">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2A427711">
            <w:pPr>
              <w:spacing w:line="240" w:lineRule="auto"/>
              <w:jc w:val="center"/>
              <w:rPr>
                <w:b/>
                <w:color w:val="000000"/>
                <w:sz w:val="16"/>
                <w:szCs w:val="16"/>
                <w:highlight w:val="lightGray"/>
              </w:rPr>
            </w:pPr>
            <w:r>
              <w:rPr>
                <w:b/>
                <w:color w:val="000000"/>
                <w:sz w:val="16"/>
                <w:szCs w:val="16"/>
                <w:highlight w:val="lightGray"/>
              </w:rPr>
              <w:t>Item</w:t>
            </w:r>
          </w:p>
        </w:tc>
        <w:tc>
          <w:tcPr>
            <w:tcW w:w="5788"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2DE7F72">
            <w:pPr>
              <w:spacing w:line="240" w:lineRule="auto"/>
              <w:jc w:val="center"/>
              <w:rPr>
                <w:sz w:val="16"/>
                <w:szCs w:val="16"/>
              </w:rPr>
            </w:pPr>
            <w:r>
              <w:rPr>
                <w:b/>
                <w:sz w:val="16"/>
                <w:szCs w:val="16"/>
              </w:rPr>
              <w:t>Endereço</w:t>
            </w:r>
          </w:p>
        </w:tc>
        <w:tc>
          <w:tcPr>
            <w:tcW w:w="141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3CCC2210">
            <w:pPr>
              <w:spacing w:line="240" w:lineRule="auto"/>
              <w:jc w:val="center"/>
              <w:rPr>
                <w:b/>
                <w:sz w:val="16"/>
                <w:szCs w:val="16"/>
              </w:rPr>
            </w:pPr>
            <w:r>
              <w:rPr>
                <w:b/>
                <w:sz w:val="16"/>
                <w:szCs w:val="16"/>
                <w:highlight w:val="lightGray"/>
              </w:rPr>
              <w:t>Tipo</w:t>
            </w:r>
          </w:p>
        </w:tc>
        <w:tc>
          <w:tcPr>
            <w:tcW w:w="1134"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E439DFE">
            <w:pPr>
              <w:spacing w:line="240" w:lineRule="auto"/>
              <w:jc w:val="center"/>
              <w:rPr>
                <w:b/>
                <w:color w:val="000000"/>
                <w:sz w:val="16"/>
                <w:szCs w:val="16"/>
                <w:highlight w:val="lightGray"/>
              </w:rPr>
            </w:pPr>
            <w:r>
              <w:rPr>
                <w:b/>
                <w:color w:val="000000"/>
                <w:sz w:val="16"/>
                <w:szCs w:val="16"/>
                <w:highlight w:val="lightGray"/>
              </w:rPr>
              <w:t>Faixa por endereço</w:t>
            </w:r>
          </w:p>
        </w:tc>
      </w:tr>
      <w:tr w14:paraId="57A43387">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9CB111F">
            <w:pPr>
              <w:spacing w:line="240" w:lineRule="auto"/>
              <w:jc w:val="center"/>
              <w:rPr>
                <w:bCs/>
                <w:color w:val="000000"/>
                <w:sz w:val="16"/>
                <w:szCs w:val="16"/>
              </w:rPr>
            </w:pPr>
            <w:r>
              <w:rPr>
                <w:bCs/>
                <w:color w:val="000000"/>
                <w:sz w:val="16"/>
                <w:szCs w:val="16"/>
              </w:rPr>
              <w:t>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E5CB889">
            <w:pPr>
              <w:spacing w:line="240" w:lineRule="auto"/>
              <w:rPr>
                <w:bCs/>
                <w:color w:val="000000"/>
                <w:sz w:val="16"/>
                <w:szCs w:val="16"/>
              </w:rPr>
            </w:pPr>
            <w:r>
              <w:rPr>
                <w:bCs/>
                <w:sz w:val="16"/>
                <w:szCs w:val="16"/>
              </w:rPr>
              <w:t>AV. BRASIL, BAIRRO JARDIM PARTICIPAÇÃO I - ESCOLA</w:t>
            </w:r>
            <w:r>
              <w:rPr>
                <w:bCs/>
                <w:sz w:val="16"/>
                <w:szCs w:val="16"/>
              </w:rPr>
              <w:br w:type="textWrapping"/>
            </w:r>
            <w:r>
              <w:rPr>
                <w:bCs/>
                <w:sz w:val="16"/>
                <w:szCs w:val="16"/>
              </w:rPr>
              <w:t>ANDRÉ MAGGI -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46205DB9">
            <w:pPr>
              <w:spacing w:line="240" w:lineRule="auto"/>
              <w:jc w:val="center"/>
              <w:rPr>
                <w:bCs/>
                <w:sz w:val="16"/>
                <w:szCs w:val="16"/>
              </w:rPr>
            </w:pPr>
            <w:r>
              <w:rPr>
                <w:bCs/>
                <w:sz w:val="16"/>
                <w:szCs w:val="16"/>
              </w:rPr>
              <w:t>LOMBADA ELETRÔNICA</w:t>
            </w:r>
          </w:p>
        </w:tc>
        <w:tc>
          <w:tcPr>
            <w:tcW w:w="1134" w:type="dxa"/>
            <w:tcBorders>
              <w:top w:val="single" w:color="auto" w:sz="4" w:space="0"/>
              <w:left w:val="single" w:color="auto" w:sz="4" w:space="0"/>
              <w:bottom w:val="single" w:color="auto" w:sz="4" w:space="0"/>
              <w:right w:val="single" w:color="auto" w:sz="4" w:space="0"/>
            </w:tcBorders>
            <w:vAlign w:val="center"/>
          </w:tcPr>
          <w:p w14:paraId="62B86915">
            <w:pPr>
              <w:spacing w:line="240" w:lineRule="auto"/>
              <w:jc w:val="center"/>
              <w:rPr>
                <w:bCs/>
                <w:color w:val="000000"/>
                <w:sz w:val="16"/>
                <w:szCs w:val="16"/>
              </w:rPr>
            </w:pPr>
            <w:r>
              <w:rPr>
                <w:bCs/>
                <w:color w:val="000000"/>
                <w:sz w:val="16"/>
                <w:szCs w:val="16"/>
              </w:rPr>
              <w:t>2</w:t>
            </w:r>
          </w:p>
        </w:tc>
      </w:tr>
      <w:tr w14:paraId="24F7402A">
        <w:tblPrEx>
          <w:tblCellMar>
            <w:top w:w="0" w:type="dxa"/>
            <w:left w:w="70" w:type="dxa"/>
            <w:bottom w:w="0" w:type="dxa"/>
            <w:right w:w="70" w:type="dxa"/>
          </w:tblCellMar>
        </w:tblPrEx>
        <w:trPr>
          <w:trHeight w:val="72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159A745">
            <w:pPr>
              <w:spacing w:line="240" w:lineRule="auto"/>
              <w:jc w:val="center"/>
              <w:rPr>
                <w:bCs/>
                <w:color w:val="000000"/>
                <w:sz w:val="16"/>
                <w:szCs w:val="16"/>
              </w:rPr>
            </w:pPr>
            <w:r>
              <w:rPr>
                <w:bCs/>
                <w:color w:val="000000"/>
                <w:sz w:val="16"/>
                <w:szCs w:val="16"/>
              </w:rPr>
              <w:t>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772EB1D">
            <w:pPr>
              <w:spacing w:line="240" w:lineRule="auto"/>
              <w:rPr>
                <w:bCs/>
                <w:color w:val="000000"/>
                <w:sz w:val="16"/>
                <w:szCs w:val="16"/>
              </w:rPr>
            </w:pPr>
            <w:r>
              <w:rPr>
                <w:bCs/>
                <w:sz w:val="16"/>
                <w:szCs w:val="16"/>
              </w:rPr>
              <w:t>RUA BARÃO DO RIO BRANCO, N 2802 - BAIRRO JD. STA.</w:t>
            </w:r>
            <w:r>
              <w:rPr>
                <w:bCs/>
                <w:sz w:val="16"/>
                <w:szCs w:val="16"/>
              </w:rPr>
              <w:br w:type="textWrapping"/>
            </w:r>
            <w:r>
              <w:rPr>
                <w:bCs/>
                <w:sz w:val="16"/>
                <w:szCs w:val="16"/>
              </w:rPr>
              <w:t>MARTA - EM FRENTE A UPA [Sentido Duplo: Bairro/Centro e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0EB2AAB4">
            <w:pPr>
              <w:spacing w:line="240" w:lineRule="auto"/>
              <w:jc w:val="center"/>
              <w:rPr>
                <w:bCs/>
                <w:sz w:val="16"/>
                <w:szCs w:val="16"/>
              </w:rPr>
            </w:pPr>
            <w:r>
              <w:rPr>
                <w:bCs/>
                <w:sz w:val="16"/>
                <w:szCs w:val="16"/>
              </w:rPr>
              <w:t>LOMBADA ELETRÔNICA</w:t>
            </w:r>
          </w:p>
        </w:tc>
        <w:tc>
          <w:tcPr>
            <w:tcW w:w="1134" w:type="dxa"/>
            <w:tcBorders>
              <w:top w:val="single" w:color="auto" w:sz="4" w:space="0"/>
              <w:left w:val="single" w:color="auto" w:sz="4" w:space="0"/>
              <w:bottom w:val="single" w:color="auto" w:sz="4" w:space="0"/>
              <w:right w:val="single" w:color="auto" w:sz="4" w:space="0"/>
            </w:tcBorders>
            <w:vAlign w:val="center"/>
          </w:tcPr>
          <w:p w14:paraId="774B75E8">
            <w:pPr>
              <w:spacing w:line="240" w:lineRule="auto"/>
              <w:jc w:val="center"/>
              <w:rPr>
                <w:bCs/>
                <w:color w:val="000000"/>
                <w:sz w:val="16"/>
                <w:szCs w:val="16"/>
              </w:rPr>
            </w:pPr>
            <w:r>
              <w:rPr>
                <w:bCs/>
                <w:color w:val="000000"/>
                <w:sz w:val="16"/>
                <w:szCs w:val="16"/>
              </w:rPr>
              <w:t>2</w:t>
            </w:r>
          </w:p>
        </w:tc>
      </w:tr>
      <w:tr w14:paraId="4F39CA72">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C6560E7">
            <w:pPr>
              <w:spacing w:line="240" w:lineRule="auto"/>
              <w:jc w:val="center"/>
              <w:rPr>
                <w:bCs/>
                <w:color w:val="000000"/>
                <w:sz w:val="16"/>
                <w:szCs w:val="16"/>
              </w:rPr>
            </w:pPr>
            <w:r>
              <w:rPr>
                <w:bCs/>
                <w:color w:val="000000"/>
                <w:sz w:val="16"/>
                <w:szCs w:val="16"/>
              </w:rPr>
              <w:t>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8434900">
            <w:pPr>
              <w:spacing w:line="240" w:lineRule="auto"/>
              <w:rPr>
                <w:bCs/>
                <w:color w:val="000000"/>
                <w:sz w:val="16"/>
                <w:szCs w:val="16"/>
              </w:rPr>
            </w:pPr>
            <w:r>
              <w:rPr>
                <w:bCs/>
                <w:sz w:val="16"/>
                <w:szCs w:val="16"/>
              </w:rPr>
              <w:t>RUA DOM PEDRO II, N 523 - VILA AURORA I - Prox. A ESC.</w:t>
            </w:r>
            <w:r>
              <w:rPr>
                <w:bCs/>
                <w:sz w:val="16"/>
                <w:szCs w:val="16"/>
              </w:rPr>
              <w:br w:type="textWrapping"/>
            </w:r>
            <w:r>
              <w:rPr>
                <w:bCs/>
                <w:sz w:val="16"/>
                <w:szCs w:val="16"/>
              </w:rPr>
              <w:t>ADOLFO AUGUSTO DE MORAES [Sentido: Bairro/Centro]</w:t>
            </w:r>
          </w:p>
        </w:tc>
        <w:tc>
          <w:tcPr>
            <w:tcW w:w="1418" w:type="dxa"/>
            <w:tcBorders>
              <w:top w:val="single" w:color="auto" w:sz="4" w:space="0"/>
              <w:left w:val="single" w:color="auto" w:sz="4" w:space="0"/>
              <w:bottom w:val="single" w:color="auto" w:sz="4" w:space="0"/>
              <w:right w:val="single" w:color="auto" w:sz="4" w:space="0"/>
            </w:tcBorders>
            <w:vAlign w:val="center"/>
          </w:tcPr>
          <w:p w14:paraId="685438A0">
            <w:pPr>
              <w:spacing w:line="240" w:lineRule="auto"/>
              <w:jc w:val="center"/>
              <w:rPr>
                <w:bCs/>
                <w:sz w:val="16"/>
                <w:szCs w:val="16"/>
              </w:rPr>
            </w:pPr>
            <w:r>
              <w:rPr>
                <w:bCs/>
                <w:sz w:val="16"/>
                <w:szCs w:val="16"/>
              </w:rPr>
              <w:t>LOMBADA ELETRÔNICA</w:t>
            </w:r>
          </w:p>
        </w:tc>
        <w:tc>
          <w:tcPr>
            <w:tcW w:w="1134" w:type="dxa"/>
            <w:tcBorders>
              <w:top w:val="single" w:color="auto" w:sz="4" w:space="0"/>
              <w:left w:val="single" w:color="auto" w:sz="4" w:space="0"/>
              <w:bottom w:val="single" w:color="auto" w:sz="4" w:space="0"/>
              <w:right w:val="single" w:color="auto" w:sz="4" w:space="0"/>
            </w:tcBorders>
            <w:vAlign w:val="center"/>
          </w:tcPr>
          <w:p w14:paraId="020D31BD">
            <w:pPr>
              <w:spacing w:line="240" w:lineRule="auto"/>
              <w:jc w:val="center"/>
              <w:rPr>
                <w:bCs/>
                <w:color w:val="000000"/>
                <w:sz w:val="16"/>
                <w:szCs w:val="16"/>
              </w:rPr>
            </w:pPr>
            <w:r>
              <w:rPr>
                <w:bCs/>
                <w:color w:val="000000"/>
                <w:sz w:val="16"/>
                <w:szCs w:val="16"/>
              </w:rPr>
              <w:t>2</w:t>
            </w:r>
          </w:p>
        </w:tc>
      </w:tr>
      <w:tr w14:paraId="37ECDD61">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7184663">
            <w:pPr>
              <w:spacing w:line="240" w:lineRule="auto"/>
              <w:jc w:val="center"/>
              <w:rPr>
                <w:bCs/>
                <w:color w:val="000000"/>
                <w:sz w:val="16"/>
                <w:szCs w:val="16"/>
              </w:rPr>
            </w:pPr>
            <w:r>
              <w:rPr>
                <w:bCs/>
                <w:color w:val="000000"/>
                <w:sz w:val="16"/>
                <w:szCs w:val="16"/>
              </w:rPr>
              <w:t>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951460A">
            <w:pPr>
              <w:spacing w:line="240" w:lineRule="auto"/>
              <w:rPr>
                <w:bCs/>
                <w:color w:val="000000"/>
                <w:sz w:val="16"/>
                <w:szCs w:val="16"/>
              </w:rPr>
            </w:pPr>
            <w:r>
              <w:rPr>
                <w:bCs/>
                <w:sz w:val="16"/>
                <w:szCs w:val="16"/>
              </w:rPr>
              <w:t>AV. CASTELO BRANCO, EM FRENTE TONY SORVETES, N.</w:t>
            </w:r>
            <w:r>
              <w:rPr>
                <w:bCs/>
                <w:sz w:val="16"/>
                <w:szCs w:val="16"/>
              </w:rPr>
              <w:br w:type="textWrapping"/>
            </w:r>
            <w:r>
              <w:rPr>
                <w:bCs/>
                <w:sz w:val="16"/>
                <w:szCs w:val="16"/>
              </w:rPr>
              <w:t>905 - VILA OPERARIA [Sentido: 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3DF8D40F">
            <w:pPr>
              <w:spacing w:line="240" w:lineRule="auto"/>
              <w:jc w:val="center"/>
              <w:rPr>
                <w:bCs/>
                <w:sz w:val="16"/>
                <w:szCs w:val="16"/>
              </w:rPr>
            </w:pPr>
            <w:r>
              <w:rPr>
                <w:bCs/>
                <w:sz w:val="16"/>
                <w:szCs w:val="16"/>
              </w:rPr>
              <w:t>LOMBADA ELETRÔNICA</w:t>
            </w:r>
          </w:p>
        </w:tc>
        <w:tc>
          <w:tcPr>
            <w:tcW w:w="1134" w:type="dxa"/>
            <w:tcBorders>
              <w:top w:val="single" w:color="auto" w:sz="4" w:space="0"/>
              <w:left w:val="single" w:color="auto" w:sz="4" w:space="0"/>
              <w:bottom w:val="single" w:color="auto" w:sz="4" w:space="0"/>
              <w:right w:val="single" w:color="auto" w:sz="4" w:space="0"/>
            </w:tcBorders>
            <w:vAlign w:val="center"/>
          </w:tcPr>
          <w:p w14:paraId="0DEC28FB">
            <w:pPr>
              <w:spacing w:line="240" w:lineRule="auto"/>
              <w:jc w:val="center"/>
              <w:rPr>
                <w:bCs/>
                <w:color w:val="000000"/>
                <w:sz w:val="16"/>
                <w:szCs w:val="16"/>
              </w:rPr>
            </w:pPr>
            <w:r>
              <w:rPr>
                <w:bCs/>
                <w:color w:val="000000"/>
                <w:sz w:val="16"/>
                <w:szCs w:val="16"/>
              </w:rPr>
              <w:t>2</w:t>
            </w:r>
          </w:p>
        </w:tc>
      </w:tr>
      <w:tr w14:paraId="0FC51C92">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14F5B4EC">
            <w:pPr>
              <w:spacing w:line="240" w:lineRule="auto"/>
              <w:jc w:val="center"/>
              <w:rPr>
                <w:bCs/>
                <w:color w:val="000000"/>
                <w:sz w:val="16"/>
                <w:szCs w:val="16"/>
              </w:rPr>
            </w:pPr>
            <w:r>
              <w:rPr>
                <w:bCs/>
                <w:color w:val="000000"/>
                <w:sz w:val="16"/>
                <w:szCs w:val="16"/>
              </w:rPr>
              <w:t>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12A7DAE">
            <w:pPr>
              <w:spacing w:line="240" w:lineRule="auto"/>
              <w:rPr>
                <w:bCs/>
                <w:color w:val="000000"/>
                <w:sz w:val="16"/>
                <w:szCs w:val="16"/>
              </w:rPr>
            </w:pPr>
            <w:r>
              <w:rPr>
                <w:bCs/>
                <w:sz w:val="16"/>
                <w:szCs w:val="16"/>
              </w:rPr>
              <w:t>AV. DOS ESTUDANTES, LAR DOS IDOSOS [Sentido:</w:t>
            </w:r>
            <w:r>
              <w:rPr>
                <w:bCs/>
                <w:sz w:val="16"/>
                <w:szCs w:val="16"/>
              </w:rPr>
              <w:br w:type="textWrapping"/>
            </w:r>
            <w:r>
              <w:rPr>
                <w:bCs/>
                <w:sz w:val="16"/>
                <w:szCs w:val="16"/>
              </w:rPr>
              <w:t>Centro/Bairro]</w:t>
            </w:r>
          </w:p>
        </w:tc>
        <w:tc>
          <w:tcPr>
            <w:tcW w:w="1418" w:type="dxa"/>
            <w:tcBorders>
              <w:top w:val="single" w:color="auto" w:sz="4" w:space="0"/>
              <w:left w:val="single" w:color="auto" w:sz="4" w:space="0"/>
              <w:bottom w:val="single" w:color="auto" w:sz="4" w:space="0"/>
              <w:right w:val="single" w:color="auto" w:sz="4" w:space="0"/>
            </w:tcBorders>
            <w:vAlign w:val="center"/>
          </w:tcPr>
          <w:p w14:paraId="46243BAD">
            <w:pPr>
              <w:spacing w:line="240" w:lineRule="auto"/>
              <w:jc w:val="center"/>
              <w:rPr>
                <w:bCs/>
                <w:sz w:val="16"/>
                <w:szCs w:val="16"/>
              </w:rPr>
            </w:pPr>
            <w:r>
              <w:rPr>
                <w:bCs/>
                <w:sz w:val="16"/>
                <w:szCs w:val="16"/>
              </w:rPr>
              <w:t>LOMBADA ELETRÔNICA</w:t>
            </w:r>
          </w:p>
        </w:tc>
        <w:tc>
          <w:tcPr>
            <w:tcW w:w="1134" w:type="dxa"/>
            <w:tcBorders>
              <w:top w:val="single" w:color="auto" w:sz="4" w:space="0"/>
              <w:left w:val="single" w:color="auto" w:sz="4" w:space="0"/>
              <w:bottom w:val="single" w:color="auto" w:sz="4" w:space="0"/>
              <w:right w:val="single" w:color="auto" w:sz="4" w:space="0"/>
            </w:tcBorders>
            <w:vAlign w:val="center"/>
          </w:tcPr>
          <w:p w14:paraId="77122FEA">
            <w:pPr>
              <w:spacing w:line="240" w:lineRule="auto"/>
              <w:jc w:val="center"/>
              <w:rPr>
                <w:bCs/>
                <w:color w:val="000000"/>
                <w:sz w:val="16"/>
                <w:szCs w:val="16"/>
              </w:rPr>
            </w:pPr>
            <w:r>
              <w:rPr>
                <w:bCs/>
                <w:color w:val="000000"/>
                <w:sz w:val="16"/>
                <w:szCs w:val="16"/>
              </w:rPr>
              <w:t>2</w:t>
            </w:r>
          </w:p>
        </w:tc>
      </w:tr>
      <w:tr w14:paraId="2484134F">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D5251A9">
            <w:pPr>
              <w:spacing w:line="240" w:lineRule="auto"/>
              <w:jc w:val="center"/>
              <w:rPr>
                <w:b/>
                <w:color w:val="000000"/>
                <w:sz w:val="16"/>
                <w:szCs w:val="16"/>
              </w:rPr>
            </w:pPr>
            <w:r>
              <w:rPr>
                <w:b/>
                <w:color w:val="000000"/>
                <w:sz w:val="16"/>
                <w:szCs w:val="16"/>
              </w:rPr>
              <w:t>Item</w:t>
            </w:r>
          </w:p>
        </w:tc>
        <w:tc>
          <w:tcPr>
            <w:tcW w:w="5788" w:type="dxa"/>
            <w:gridSpan w:val="2"/>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7A137285">
            <w:pPr>
              <w:spacing w:line="240" w:lineRule="auto"/>
              <w:jc w:val="center"/>
              <w:rPr>
                <w:b/>
                <w:color w:val="000000"/>
                <w:sz w:val="16"/>
                <w:szCs w:val="16"/>
              </w:rPr>
            </w:pPr>
            <w:r>
              <w:rPr>
                <w:b/>
                <w:sz w:val="16"/>
                <w:szCs w:val="16"/>
              </w:rPr>
              <w:t>Endereço</w:t>
            </w:r>
          </w:p>
        </w:tc>
        <w:tc>
          <w:tcPr>
            <w:tcW w:w="1418"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571D4603">
            <w:pPr>
              <w:spacing w:line="240" w:lineRule="auto"/>
              <w:jc w:val="center"/>
              <w:rPr>
                <w:b/>
                <w:color w:val="000000"/>
                <w:sz w:val="16"/>
                <w:szCs w:val="16"/>
              </w:rPr>
            </w:pPr>
            <w:r>
              <w:rPr>
                <w:b/>
                <w:sz w:val="16"/>
                <w:szCs w:val="16"/>
              </w:rPr>
              <w:t>Tipo</w:t>
            </w:r>
          </w:p>
        </w:tc>
        <w:tc>
          <w:tcPr>
            <w:tcW w:w="1134" w:type="dxa"/>
            <w:tcBorders>
              <w:top w:val="single" w:color="auto" w:sz="4" w:space="0"/>
              <w:left w:val="single" w:color="auto" w:sz="4" w:space="0"/>
              <w:bottom w:val="single" w:color="auto" w:sz="4" w:space="0"/>
              <w:right w:val="single" w:color="auto" w:sz="4" w:space="0"/>
            </w:tcBorders>
            <w:shd w:val="clear" w:color="auto" w:fill="D8D8D8" w:themeFill="background1" w:themeFillShade="D9"/>
            <w:vAlign w:val="center"/>
          </w:tcPr>
          <w:p w14:paraId="1913B7EF">
            <w:pPr>
              <w:spacing w:line="240" w:lineRule="auto"/>
              <w:jc w:val="center"/>
              <w:rPr>
                <w:b/>
                <w:color w:val="000000"/>
                <w:sz w:val="16"/>
                <w:szCs w:val="16"/>
              </w:rPr>
            </w:pPr>
            <w:r>
              <w:rPr>
                <w:b/>
                <w:color w:val="000000"/>
                <w:sz w:val="16"/>
                <w:szCs w:val="16"/>
              </w:rPr>
              <w:t>Faixa por endereço</w:t>
            </w:r>
          </w:p>
        </w:tc>
      </w:tr>
      <w:tr w14:paraId="27DB3B1E">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10C832E">
            <w:pPr>
              <w:spacing w:line="240" w:lineRule="auto"/>
              <w:jc w:val="center"/>
              <w:rPr>
                <w:bCs/>
                <w:color w:val="000000"/>
                <w:sz w:val="16"/>
                <w:szCs w:val="16"/>
              </w:rPr>
            </w:pPr>
            <w:r>
              <w:rPr>
                <w:bCs/>
                <w:color w:val="000000"/>
                <w:sz w:val="16"/>
                <w:szCs w:val="16"/>
              </w:rPr>
              <w:t>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81159E5">
            <w:pPr>
              <w:spacing w:line="240" w:lineRule="auto"/>
              <w:rPr>
                <w:bCs/>
                <w:sz w:val="16"/>
                <w:szCs w:val="16"/>
              </w:rPr>
            </w:pPr>
            <w:r>
              <w:rPr>
                <w:bCs/>
                <w:sz w:val="16"/>
                <w:szCs w:val="16"/>
              </w:rPr>
              <w:t>R. BARÃO DO RIO BRANCO N 4761 C/B</w:t>
            </w:r>
          </w:p>
        </w:tc>
        <w:tc>
          <w:tcPr>
            <w:tcW w:w="1418" w:type="dxa"/>
            <w:tcBorders>
              <w:top w:val="single" w:color="auto" w:sz="4" w:space="0"/>
              <w:left w:val="single" w:color="auto" w:sz="4" w:space="0"/>
              <w:bottom w:val="single" w:color="auto" w:sz="4" w:space="0"/>
              <w:right w:val="single" w:color="auto" w:sz="4" w:space="0"/>
            </w:tcBorders>
            <w:vAlign w:val="center"/>
          </w:tcPr>
          <w:p w14:paraId="5CB28C64">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48C0CF3D">
            <w:pPr>
              <w:spacing w:line="240" w:lineRule="auto"/>
              <w:jc w:val="center"/>
              <w:rPr>
                <w:bCs/>
                <w:color w:val="000000"/>
                <w:sz w:val="16"/>
                <w:szCs w:val="16"/>
              </w:rPr>
            </w:pPr>
            <w:r>
              <w:rPr>
                <w:bCs/>
                <w:color w:val="000000"/>
                <w:sz w:val="16"/>
                <w:szCs w:val="16"/>
              </w:rPr>
              <w:t>2</w:t>
            </w:r>
          </w:p>
        </w:tc>
      </w:tr>
      <w:tr w14:paraId="1DB414CD">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7319A86">
            <w:pPr>
              <w:spacing w:line="240" w:lineRule="auto"/>
              <w:jc w:val="center"/>
              <w:rPr>
                <w:bCs/>
                <w:color w:val="000000"/>
                <w:sz w:val="16"/>
                <w:szCs w:val="16"/>
              </w:rPr>
            </w:pPr>
            <w:r>
              <w:rPr>
                <w:bCs/>
                <w:color w:val="000000"/>
                <w:sz w:val="16"/>
                <w:szCs w:val="16"/>
              </w:rPr>
              <w:t>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501E5EB">
            <w:pPr>
              <w:spacing w:line="240" w:lineRule="auto"/>
              <w:rPr>
                <w:bCs/>
                <w:sz w:val="16"/>
                <w:szCs w:val="16"/>
              </w:rPr>
            </w:pPr>
            <w:r>
              <w:rPr>
                <w:bCs/>
                <w:sz w:val="16"/>
                <w:szCs w:val="16"/>
              </w:rPr>
              <w:t>R. BARÃO DO RIO BRANCO N 4761 B/C</w:t>
            </w:r>
          </w:p>
        </w:tc>
        <w:tc>
          <w:tcPr>
            <w:tcW w:w="1418" w:type="dxa"/>
            <w:tcBorders>
              <w:top w:val="single" w:color="auto" w:sz="4" w:space="0"/>
              <w:left w:val="single" w:color="auto" w:sz="4" w:space="0"/>
              <w:bottom w:val="single" w:color="auto" w:sz="4" w:space="0"/>
              <w:right w:val="single" w:color="auto" w:sz="4" w:space="0"/>
            </w:tcBorders>
            <w:vAlign w:val="center"/>
          </w:tcPr>
          <w:p w14:paraId="34DE16AE">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4718CE6D">
            <w:pPr>
              <w:spacing w:line="240" w:lineRule="auto"/>
              <w:jc w:val="center"/>
              <w:rPr>
                <w:bCs/>
                <w:color w:val="000000"/>
                <w:sz w:val="16"/>
                <w:szCs w:val="16"/>
              </w:rPr>
            </w:pPr>
            <w:r>
              <w:rPr>
                <w:bCs/>
                <w:color w:val="000000"/>
                <w:sz w:val="16"/>
                <w:szCs w:val="16"/>
              </w:rPr>
              <w:t>2</w:t>
            </w:r>
          </w:p>
        </w:tc>
      </w:tr>
      <w:tr w14:paraId="404280B1">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C4FFAB9">
            <w:pPr>
              <w:spacing w:line="240" w:lineRule="auto"/>
              <w:jc w:val="center"/>
              <w:rPr>
                <w:bCs/>
                <w:color w:val="000000"/>
                <w:sz w:val="16"/>
                <w:szCs w:val="16"/>
              </w:rPr>
            </w:pPr>
            <w:r>
              <w:rPr>
                <w:bCs/>
                <w:color w:val="000000"/>
                <w:sz w:val="16"/>
                <w:szCs w:val="16"/>
              </w:rPr>
              <w:t>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35257A3">
            <w:pPr>
              <w:spacing w:line="240" w:lineRule="auto"/>
              <w:rPr>
                <w:bCs/>
                <w:sz w:val="16"/>
                <w:szCs w:val="16"/>
              </w:rPr>
            </w:pPr>
            <w:r>
              <w:rPr>
                <w:bCs/>
                <w:sz w:val="16"/>
                <w:szCs w:val="16"/>
              </w:rPr>
              <w:t>AV. Dom Pedro II X AV. BINÁRIO NORTE</w:t>
            </w:r>
          </w:p>
        </w:tc>
        <w:tc>
          <w:tcPr>
            <w:tcW w:w="1418" w:type="dxa"/>
            <w:tcBorders>
              <w:top w:val="single" w:color="auto" w:sz="4" w:space="0"/>
              <w:left w:val="single" w:color="auto" w:sz="4" w:space="0"/>
              <w:bottom w:val="single" w:color="auto" w:sz="4" w:space="0"/>
              <w:right w:val="single" w:color="auto" w:sz="4" w:space="0"/>
            </w:tcBorders>
            <w:vAlign w:val="center"/>
          </w:tcPr>
          <w:p w14:paraId="78F8C62D">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7AD7B4DD">
            <w:pPr>
              <w:spacing w:line="240" w:lineRule="auto"/>
              <w:jc w:val="center"/>
              <w:rPr>
                <w:bCs/>
                <w:color w:val="000000"/>
                <w:sz w:val="16"/>
                <w:szCs w:val="16"/>
              </w:rPr>
            </w:pPr>
            <w:r>
              <w:rPr>
                <w:bCs/>
                <w:color w:val="000000"/>
                <w:sz w:val="16"/>
                <w:szCs w:val="16"/>
              </w:rPr>
              <w:t>3</w:t>
            </w:r>
          </w:p>
        </w:tc>
      </w:tr>
      <w:tr w14:paraId="15F2FE1A">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DC32057">
            <w:pPr>
              <w:spacing w:line="240" w:lineRule="auto"/>
              <w:jc w:val="center"/>
              <w:rPr>
                <w:bCs/>
                <w:color w:val="000000"/>
                <w:sz w:val="16"/>
                <w:szCs w:val="16"/>
              </w:rPr>
            </w:pPr>
            <w:r>
              <w:rPr>
                <w:bCs/>
                <w:color w:val="000000"/>
                <w:sz w:val="16"/>
                <w:szCs w:val="16"/>
              </w:rPr>
              <w:t>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1BC95A7">
            <w:pPr>
              <w:spacing w:line="240" w:lineRule="auto"/>
              <w:rPr>
                <w:bCs/>
                <w:sz w:val="16"/>
                <w:szCs w:val="16"/>
              </w:rPr>
            </w:pPr>
            <w:r>
              <w:rPr>
                <w:bCs/>
                <w:sz w:val="16"/>
                <w:szCs w:val="16"/>
              </w:rPr>
              <w:t>ENTRADA- FERNANDO CORREIA DA COSTA</w:t>
            </w:r>
          </w:p>
        </w:tc>
        <w:tc>
          <w:tcPr>
            <w:tcW w:w="1418" w:type="dxa"/>
            <w:tcBorders>
              <w:top w:val="single" w:color="auto" w:sz="4" w:space="0"/>
              <w:left w:val="single" w:color="auto" w:sz="4" w:space="0"/>
              <w:bottom w:val="single" w:color="auto" w:sz="4" w:space="0"/>
              <w:right w:val="single" w:color="auto" w:sz="4" w:space="0"/>
            </w:tcBorders>
            <w:vAlign w:val="center"/>
          </w:tcPr>
          <w:p w14:paraId="5AC5FEA9">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78C76ECF">
            <w:pPr>
              <w:spacing w:line="240" w:lineRule="auto"/>
              <w:jc w:val="center"/>
              <w:rPr>
                <w:bCs/>
                <w:color w:val="000000"/>
                <w:sz w:val="16"/>
                <w:szCs w:val="16"/>
              </w:rPr>
            </w:pPr>
            <w:r>
              <w:rPr>
                <w:bCs/>
                <w:color w:val="000000"/>
                <w:sz w:val="16"/>
                <w:szCs w:val="16"/>
              </w:rPr>
              <w:t>3</w:t>
            </w:r>
          </w:p>
        </w:tc>
      </w:tr>
      <w:tr w14:paraId="17FAE4E2">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BF2975C">
            <w:pPr>
              <w:spacing w:line="240" w:lineRule="auto"/>
              <w:jc w:val="center"/>
              <w:rPr>
                <w:bCs/>
                <w:color w:val="000000"/>
                <w:sz w:val="16"/>
                <w:szCs w:val="16"/>
              </w:rPr>
            </w:pPr>
            <w:r>
              <w:rPr>
                <w:bCs/>
                <w:color w:val="000000"/>
                <w:sz w:val="16"/>
                <w:szCs w:val="16"/>
              </w:rPr>
              <w:t>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4A58DC6">
            <w:pPr>
              <w:spacing w:line="240" w:lineRule="auto"/>
              <w:rPr>
                <w:bCs/>
                <w:sz w:val="16"/>
                <w:szCs w:val="16"/>
              </w:rPr>
            </w:pPr>
            <w:r>
              <w:rPr>
                <w:bCs/>
                <w:sz w:val="16"/>
                <w:szCs w:val="16"/>
              </w:rPr>
              <w:t>AV. Lions Internacional X AV. DOS ESTUDANTES</w:t>
            </w:r>
          </w:p>
        </w:tc>
        <w:tc>
          <w:tcPr>
            <w:tcW w:w="1418" w:type="dxa"/>
            <w:tcBorders>
              <w:top w:val="single" w:color="auto" w:sz="4" w:space="0"/>
              <w:left w:val="single" w:color="auto" w:sz="4" w:space="0"/>
              <w:bottom w:val="single" w:color="auto" w:sz="4" w:space="0"/>
              <w:right w:val="single" w:color="auto" w:sz="4" w:space="0"/>
            </w:tcBorders>
            <w:vAlign w:val="center"/>
          </w:tcPr>
          <w:p w14:paraId="5E3CA73D">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57E8C5D8">
            <w:pPr>
              <w:spacing w:line="240" w:lineRule="auto"/>
              <w:jc w:val="center"/>
              <w:rPr>
                <w:bCs/>
                <w:color w:val="000000"/>
                <w:sz w:val="16"/>
                <w:szCs w:val="16"/>
              </w:rPr>
            </w:pPr>
            <w:r>
              <w:rPr>
                <w:bCs/>
                <w:color w:val="000000"/>
                <w:sz w:val="16"/>
                <w:szCs w:val="16"/>
              </w:rPr>
              <w:t>2</w:t>
            </w:r>
          </w:p>
        </w:tc>
      </w:tr>
      <w:tr w14:paraId="0FB47734">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21084B6">
            <w:pPr>
              <w:spacing w:line="240" w:lineRule="auto"/>
              <w:jc w:val="center"/>
              <w:rPr>
                <w:bCs/>
                <w:color w:val="000000"/>
                <w:sz w:val="16"/>
                <w:szCs w:val="16"/>
              </w:rPr>
            </w:pPr>
            <w:r>
              <w:rPr>
                <w:bCs/>
                <w:color w:val="000000"/>
                <w:sz w:val="16"/>
                <w:szCs w:val="16"/>
              </w:rPr>
              <w:t>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EC019CD">
            <w:pPr>
              <w:spacing w:line="240" w:lineRule="auto"/>
              <w:rPr>
                <w:bCs/>
                <w:sz w:val="16"/>
                <w:szCs w:val="16"/>
              </w:rPr>
            </w:pPr>
            <w:r>
              <w:rPr>
                <w:bCs/>
                <w:sz w:val="16"/>
                <w:szCs w:val="16"/>
              </w:rPr>
              <w:t>AV. Lions Internacional X AV. PERIMETRAL</w:t>
            </w:r>
          </w:p>
        </w:tc>
        <w:tc>
          <w:tcPr>
            <w:tcW w:w="1418" w:type="dxa"/>
            <w:tcBorders>
              <w:top w:val="single" w:color="auto" w:sz="4" w:space="0"/>
              <w:left w:val="single" w:color="auto" w:sz="4" w:space="0"/>
              <w:bottom w:val="single" w:color="auto" w:sz="4" w:space="0"/>
              <w:right w:val="single" w:color="auto" w:sz="4" w:space="0"/>
            </w:tcBorders>
            <w:vAlign w:val="center"/>
          </w:tcPr>
          <w:p w14:paraId="6AAAA596">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2F9F5CB6">
            <w:pPr>
              <w:spacing w:line="240" w:lineRule="auto"/>
              <w:jc w:val="center"/>
              <w:rPr>
                <w:bCs/>
                <w:color w:val="000000"/>
                <w:sz w:val="16"/>
                <w:szCs w:val="16"/>
              </w:rPr>
            </w:pPr>
            <w:r>
              <w:rPr>
                <w:bCs/>
                <w:color w:val="000000"/>
                <w:sz w:val="16"/>
                <w:szCs w:val="16"/>
              </w:rPr>
              <w:t>2</w:t>
            </w:r>
          </w:p>
        </w:tc>
      </w:tr>
      <w:tr w14:paraId="31A1662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D290DE2">
            <w:pPr>
              <w:spacing w:line="240" w:lineRule="auto"/>
              <w:jc w:val="center"/>
              <w:rPr>
                <w:bCs/>
                <w:color w:val="000000"/>
                <w:sz w:val="16"/>
                <w:szCs w:val="16"/>
              </w:rPr>
            </w:pPr>
            <w:r>
              <w:rPr>
                <w:bCs/>
                <w:color w:val="000000"/>
                <w:sz w:val="16"/>
                <w:szCs w:val="16"/>
              </w:rPr>
              <w:t>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B069821">
            <w:pPr>
              <w:spacing w:line="240" w:lineRule="auto"/>
              <w:rPr>
                <w:bCs/>
                <w:sz w:val="16"/>
                <w:szCs w:val="16"/>
              </w:rPr>
            </w:pPr>
            <w:r>
              <w:rPr>
                <w:bCs/>
                <w:sz w:val="16"/>
                <w:szCs w:val="16"/>
              </w:rPr>
              <w:t>AV. MARECHAL RONDON - PONTE</w:t>
            </w:r>
          </w:p>
        </w:tc>
        <w:tc>
          <w:tcPr>
            <w:tcW w:w="1418" w:type="dxa"/>
            <w:tcBorders>
              <w:top w:val="single" w:color="auto" w:sz="4" w:space="0"/>
              <w:left w:val="single" w:color="auto" w:sz="4" w:space="0"/>
              <w:bottom w:val="single" w:color="auto" w:sz="4" w:space="0"/>
              <w:right w:val="single" w:color="auto" w:sz="4" w:space="0"/>
            </w:tcBorders>
            <w:vAlign w:val="center"/>
          </w:tcPr>
          <w:p w14:paraId="3706FBBC">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21F43BA8">
            <w:pPr>
              <w:spacing w:line="240" w:lineRule="auto"/>
              <w:jc w:val="center"/>
              <w:rPr>
                <w:bCs/>
                <w:color w:val="000000"/>
                <w:sz w:val="16"/>
                <w:szCs w:val="16"/>
              </w:rPr>
            </w:pPr>
            <w:r>
              <w:rPr>
                <w:bCs/>
                <w:color w:val="000000"/>
                <w:sz w:val="16"/>
                <w:szCs w:val="16"/>
              </w:rPr>
              <w:t>2</w:t>
            </w:r>
          </w:p>
        </w:tc>
      </w:tr>
      <w:tr w14:paraId="7C788EB9">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B14F61A">
            <w:pPr>
              <w:spacing w:line="240" w:lineRule="auto"/>
              <w:jc w:val="center"/>
              <w:rPr>
                <w:bCs/>
                <w:color w:val="000000"/>
                <w:sz w:val="16"/>
                <w:szCs w:val="16"/>
              </w:rPr>
            </w:pPr>
            <w:r>
              <w:rPr>
                <w:bCs/>
                <w:color w:val="000000"/>
                <w:sz w:val="16"/>
                <w:szCs w:val="16"/>
              </w:rPr>
              <w:t>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E321A97">
            <w:pPr>
              <w:spacing w:line="240" w:lineRule="auto"/>
              <w:rPr>
                <w:bCs/>
                <w:sz w:val="16"/>
                <w:szCs w:val="16"/>
              </w:rPr>
            </w:pPr>
            <w:r>
              <w:rPr>
                <w:bCs/>
                <w:sz w:val="16"/>
                <w:szCs w:val="16"/>
              </w:rPr>
              <w:t>AV. PRES. MÉDICI X R. MATO GROSSO</w:t>
            </w:r>
          </w:p>
        </w:tc>
        <w:tc>
          <w:tcPr>
            <w:tcW w:w="1418" w:type="dxa"/>
            <w:tcBorders>
              <w:top w:val="single" w:color="auto" w:sz="4" w:space="0"/>
              <w:left w:val="single" w:color="auto" w:sz="4" w:space="0"/>
              <w:bottom w:val="single" w:color="auto" w:sz="4" w:space="0"/>
              <w:right w:val="single" w:color="auto" w:sz="4" w:space="0"/>
            </w:tcBorders>
            <w:vAlign w:val="center"/>
          </w:tcPr>
          <w:p w14:paraId="5332CFD9">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5F5C8C20">
            <w:pPr>
              <w:spacing w:line="240" w:lineRule="auto"/>
              <w:jc w:val="center"/>
              <w:rPr>
                <w:bCs/>
                <w:color w:val="000000"/>
                <w:sz w:val="16"/>
                <w:szCs w:val="16"/>
              </w:rPr>
            </w:pPr>
            <w:r>
              <w:rPr>
                <w:bCs/>
                <w:color w:val="000000"/>
                <w:sz w:val="16"/>
                <w:szCs w:val="16"/>
              </w:rPr>
              <w:t>3</w:t>
            </w:r>
          </w:p>
        </w:tc>
      </w:tr>
      <w:tr w14:paraId="46DCF817">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FE1C6E4">
            <w:pPr>
              <w:spacing w:line="240" w:lineRule="auto"/>
              <w:jc w:val="center"/>
              <w:rPr>
                <w:bCs/>
                <w:color w:val="000000"/>
                <w:sz w:val="16"/>
                <w:szCs w:val="16"/>
              </w:rPr>
            </w:pPr>
            <w:r>
              <w:rPr>
                <w:bCs/>
                <w:color w:val="000000"/>
                <w:sz w:val="16"/>
                <w:szCs w:val="16"/>
              </w:rPr>
              <w:t>9</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397EF71">
            <w:pPr>
              <w:spacing w:line="240" w:lineRule="auto"/>
              <w:rPr>
                <w:bCs/>
                <w:sz w:val="16"/>
                <w:szCs w:val="16"/>
              </w:rPr>
            </w:pPr>
            <w:r>
              <w:rPr>
                <w:bCs/>
                <w:sz w:val="16"/>
                <w:szCs w:val="16"/>
              </w:rPr>
              <w:t>AV. PRES. MÉDICI X R. JOÃO PESSOA</w:t>
            </w:r>
          </w:p>
        </w:tc>
        <w:tc>
          <w:tcPr>
            <w:tcW w:w="1418" w:type="dxa"/>
            <w:tcBorders>
              <w:top w:val="single" w:color="auto" w:sz="4" w:space="0"/>
              <w:left w:val="single" w:color="auto" w:sz="4" w:space="0"/>
              <w:bottom w:val="single" w:color="auto" w:sz="4" w:space="0"/>
              <w:right w:val="single" w:color="auto" w:sz="4" w:space="0"/>
            </w:tcBorders>
            <w:vAlign w:val="center"/>
          </w:tcPr>
          <w:p w14:paraId="26C9C15B">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250B8AEA">
            <w:pPr>
              <w:spacing w:line="240" w:lineRule="auto"/>
              <w:jc w:val="center"/>
              <w:rPr>
                <w:bCs/>
                <w:color w:val="000000"/>
                <w:sz w:val="16"/>
                <w:szCs w:val="16"/>
              </w:rPr>
            </w:pPr>
            <w:r>
              <w:rPr>
                <w:bCs/>
                <w:color w:val="000000"/>
                <w:sz w:val="16"/>
                <w:szCs w:val="16"/>
              </w:rPr>
              <w:t>3</w:t>
            </w:r>
          </w:p>
        </w:tc>
      </w:tr>
      <w:tr w14:paraId="3BED32F2">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B47D0D1">
            <w:pPr>
              <w:spacing w:line="240" w:lineRule="auto"/>
              <w:jc w:val="center"/>
              <w:rPr>
                <w:bCs/>
                <w:color w:val="000000"/>
                <w:sz w:val="16"/>
                <w:szCs w:val="16"/>
              </w:rPr>
            </w:pPr>
            <w:r>
              <w:rPr>
                <w:bCs/>
                <w:color w:val="000000"/>
                <w:sz w:val="16"/>
                <w:szCs w:val="16"/>
              </w:rPr>
              <w:t>10</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D22AEA8">
            <w:pPr>
              <w:spacing w:line="240" w:lineRule="auto"/>
              <w:rPr>
                <w:bCs/>
                <w:sz w:val="16"/>
                <w:szCs w:val="16"/>
              </w:rPr>
            </w:pPr>
            <w:r>
              <w:rPr>
                <w:bCs/>
                <w:sz w:val="16"/>
                <w:szCs w:val="16"/>
              </w:rPr>
              <w:t>AV. PAULISTA X AV. GUARAPUAVA</w:t>
            </w:r>
          </w:p>
        </w:tc>
        <w:tc>
          <w:tcPr>
            <w:tcW w:w="1418" w:type="dxa"/>
            <w:tcBorders>
              <w:top w:val="single" w:color="auto" w:sz="4" w:space="0"/>
              <w:left w:val="single" w:color="auto" w:sz="4" w:space="0"/>
              <w:bottom w:val="single" w:color="auto" w:sz="4" w:space="0"/>
              <w:right w:val="single" w:color="auto" w:sz="4" w:space="0"/>
            </w:tcBorders>
            <w:vAlign w:val="center"/>
          </w:tcPr>
          <w:p w14:paraId="56931682">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63D34AE6">
            <w:pPr>
              <w:spacing w:line="240" w:lineRule="auto"/>
              <w:jc w:val="center"/>
              <w:rPr>
                <w:bCs/>
                <w:color w:val="000000"/>
                <w:sz w:val="16"/>
                <w:szCs w:val="16"/>
              </w:rPr>
            </w:pPr>
            <w:r>
              <w:rPr>
                <w:bCs/>
                <w:color w:val="000000"/>
                <w:sz w:val="16"/>
                <w:szCs w:val="16"/>
              </w:rPr>
              <w:t>3</w:t>
            </w:r>
          </w:p>
        </w:tc>
      </w:tr>
      <w:tr w14:paraId="1CAB0408">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AF32411">
            <w:pPr>
              <w:spacing w:line="240" w:lineRule="auto"/>
              <w:jc w:val="center"/>
              <w:rPr>
                <w:bCs/>
                <w:color w:val="000000"/>
                <w:sz w:val="16"/>
                <w:szCs w:val="16"/>
              </w:rPr>
            </w:pPr>
            <w:r>
              <w:rPr>
                <w:bCs/>
                <w:color w:val="000000"/>
                <w:sz w:val="16"/>
                <w:szCs w:val="16"/>
              </w:rPr>
              <w:t>11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CBB9C30">
            <w:pPr>
              <w:spacing w:line="240" w:lineRule="auto"/>
              <w:rPr>
                <w:bCs/>
                <w:sz w:val="16"/>
                <w:szCs w:val="16"/>
              </w:rPr>
            </w:pPr>
            <w:r>
              <w:rPr>
                <w:bCs/>
                <w:sz w:val="16"/>
                <w:szCs w:val="16"/>
              </w:rPr>
              <w:t>AV. DAS ANDORINHAS X R. A-11</w:t>
            </w:r>
          </w:p>
        </w:tc>
        <w:tc>
          <w:tcPr>
            <w:tcW w:w="1418" w:type="dxa"/>
            <w:tcBorders>
              <w:top w:val="single" w:color="auto" w:sz="4" w:space="0"/>
              <w:left w:val="single" w:color="auto" w:sz="4" w:space="0"/>
              <w:bottom w:val="single" w:color="auto" w:sz="4" w:space="0"/>
              <w:right w:val="single" w:color="auto" w:sz="4" w:space="0"/>
            </w:tcBorders>
            <w:vAlign w:val="center"/>
          </w:tcPr>
          <w:p w14:paraId="1463823B">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4887CC07">
            <w:pPr>
              <w:spacing w:line="240" w:lineRule="auto"/>
              <w:jc w:val="center"/>
              <w:rPr>
                <w:bCs/>
                <w:color w:val="000000"/>
                <w:sz w:val="16"/>
                <w:szCs w:val="16"/>
              </w:rPr>
            </w:pPr>
            <w:r>
              <w:rPr>
                <w:bCs/>
                <w:color w:val="000000"/>
                <w:sz w:val="16"/>
                <w:szCs w:val="16"/>
              </w:rPr>
              <w:t>2</w:t>
            </w:r>
          </w:p>
        </w:tc>
      </w:tr>
      <w:tr w14:paraId="01A240FE">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36D2E1AC">
            <w:pPr>
              <w:spacing w:line="240" w:lineRule="auto"/>
              <w:jc w:val="center"/>
              <w:rPr>
                <w:bCs/>
                <w:color w:val="000000"/>
                <w:sz w:val="16"/>
                <w:szCs w:val="16"/>
              </w:rPr>
            </w:pPr>
            <w:r>
              <w:rPr>
                <w:bCs/>
                <w:color w:val="000000"/>
                <w:sz w:val="16"/>
                <w:szCs w:val="16"/>
              </w:rPr>
              <w:t>12</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3286737">
            <w:pPr>
              <w:spacing w:line="240" w:lineRule="auto"/>
              <w:rPr>
                <w:bCs/>
                <w:sz w:val="16"/>
                <w:szCs w:val="16"/>
              </w:rPr>
            </w:pPr>
            <w:r>
              <w:rPr>
                <w:bCs/>
                <w:sz w:val="16"/>
                <w:szCs w:val="16"/>
              </w:rPr>
              <w:t>AV. WALID JUMBLATE X R. SIRIRI</w:t>
            </w:r>
          </w:p>
        </w:tc>
        <w:tc>
          <w:tcPr>
            <w:tcW w:w="1418" w:type="dxa"/>
            <w:tcBorders>
              <w:top w:val="single" w:color="auto" w:sz="4" w:space="0"/>
              <w:left w:val="single" w:color="auto" w:sz="4" w:space="0"/>
              <w:bottom w:val="single" w:color="auto" w:sz="4" w:space="0"/>
              <w:right w:val="single" w:color="auto" w:sz="4" w:space="0"/>
            </w:tcBorders>
            <w:vAlign w:val="center"/>
          </w:tcPr>
          <w:p w14:paraId="500C79C1">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09A7B39D">
            <w:pPr>
              <w:spacing w:line="240" w:lineRule="auto"/>
              <w:jc w:val="center"/>
              <w:rPr>
                <w:bCs/>
                <w:color w:val="000000"/>
                <w:sz w:val="16"/>
                <w:szCs w:val="16"/>
              </w:rPr>
            </w:pPr>
            <w:r>
              <w:rPr>
                <w:bCs/>
                <w:color w:val="000000"/>
                <w:sz w:val="16"/>
                <w:szCs w:val="16"/>
              </w:rPr>
              <w:t>2</w:t>
            </w:r>
          </w:p>
        </w:tc>
      </w:tr>
      <w:tr w14:paraId="7F8D8516">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493FE6D">
            <w:pPr>
              <w:spacing w:line="240" w:lineRule="auto"/>
              <w:jc w:val="center"/>
              <w:rPr>
                <w:bCs/>
                <w:color w:val="000000"/>
                <w:sz w:val="16"/>
                <w:szCs w:val="16"/>
              </w:rPr>
            </w:pPr>
            <w:r>
              <w:rPr>
                <w:bCs/>
                <w:color w:val="000000"/>
                <w:sz w:val="16"/>
                <w:szCs w:val="16"/>
              </w:rPr>
              <w:t>13</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C945D29">
            <w:pPr>
              <w:spacing w:line="240" w:lineRule="auto"/>
              <w:rPr>
                <w:bCs/>
                <w:sz w:val="16"/>
                <w:szCs w:val="16"/>
              </w:rPr>
            </w:pPr>
            <w:r>
              <w:rPr>
                <w:bCs/>
                <w:sz w:val="16"/>
                <w:szCs w:val="16"/>
              </w:rPr>
              <w:t>AV. PADIM X AV. DO BOSQUE</w:t>
            </w:r>
          </w:p>
        </w:tc>
        <w:tc>
          <w:tcPr>
            <w:tcW w:w="1418" w:type="dxa"/>
            <w:tcBorders>
              <w:top w:val="single" w:color="auto" w:sz="4" w:space="0"/>
              <w:left w:val="single" w:color="auto" w:sz="4" w:space="0"/>
              <w:bottom w:val="single" w:color="auto" w:sz="4" w:space="0"/>
              <w:right w:val="single" w:color="auto" w:sz="4" w:space="0"/>
            </w:tcBorders>
            <w:vAlign w:val="center"/>
          </w:tcPr>
          <w:p w14:paraId="42C6C543">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5E8A6D3C">
            <w:pPr>
              <w:spacing w:line="240" w:lineRule="auto"/>
              <w:jc w:val="center"/>
              <w:rPr>
                <w:bCs/>
                <w:color w:val="000000"/>
                <w:sz w:val="16"/>
                <w:szCs w:val="16"/>
              </w:rPr>
            </w:pPr>
            <w:r>
              <w:rPr>
                <w:bCs/>
                <w:color w:val="000000"/>
                <w:sz w:val="16"/>
                <w:szCs w:val="16"/>
              </w:rPr>
              <w:t>3</w:t>
            </w:r>
          </w:p>
        </w:tc>
      </w:tr>
      <w:tr w14:paraId="10D99722">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6A6F0375">
            <w:pPr>
              <w:spacing w:line="240" w:lineRule="auto"/>
              <w:jc w:val="center"/>
              <w:rPr>
                <w:bCs/>
                <w:color w:val="000000"/>
                <w:sz w:val="16"/>
                <w:szCs w:val="16"/>
              </w:rPr>
            </w:pPr>
            <w:r>
              <w:rPr>
                <w:bCs/>
                <w:color w:val="000000"/>
                <w:sz w:val="16"/>
                <w:szCs w:val="16"/>
              </w:rPr>
              <w:t>14</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3FE489E7">
            <w:pPr>
              <w:spacing w:line="240" w:lineRule="auto"/>
              <w:rPr>
                <w:bCs/>
                <w:sz w:val="16"/>
                <w:szCs w:val="16"/>
              </w:rPr>
            </w:pPr>
            <w:r>
              <w:rPr>
                <w:bCs/>
                <w:sz w:val="16"/>
                <w:szCs w:val="16"/>
              </w:rPr>
              <w:t>R. JURU X AV. ARACÊ</w:t>
            </w:r>
          </w:p>
        </w:tc>
        <w:tc>
          <w:tcPr>
            <w:tcW w:w="1418" w:type="dxa"/>
            <w:tcBorders>
              <w:top w:val="single" w:color="auto" w:sz="4" w:space="0"/>
              <w:left w:val="single" w:color="auto" w:sz="4" w:space="0"/>
              <w:bottom w:val="single" w:color="auto" w:sz="4" w:space="0"/>
              <w:right w:val="single" w:color="auto" w:sz="4" w:space="0"/>
            </w:tcBorders>
            <w:vAlign w:val="center"/>
          </w:tcPr>
          <w:p w14:paraId="3D8B3A0F">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213F34CE">
            <w:pPr>
              <w:spacing w:line="240" w:lineRule="auto"/>
              <w:jc w:val="center"/>
              <w:rPr>
                <w:bCs/>
                <w:color w:val="000000"/>
                <w:sz w:val="16"/>
                <w:szCs w:val="16"/>
              </w:rPr>
            </w:pPr>
            <w:r>
              <w:rPr>
                <w:bCs/>
                <w:color w:val="000000"/>
                <w:sz w:val="16"/>
                <w:szCs w:val="16"/>
              </w:rPr>
              <w:t>2</w:t>
            </w:r>
          </w:p>
        </w:tc>
      </w:tr>
      <w:tr w14:paraId="08AD4957">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42E7B62A">
            <w:pPr>
              <w:spacing w:line="240" w:lineRule="auto"/>
              <w:jc w:val="center"/>
              <w:rPr>
                <w:bCs/>
                <w:color w:val="000000"/>
                <w:sz w:val="16"/>
                <w:szCs w:val="16"/>
              </w:rPr>
            </w:pPr>
            <w:r>
              <w:rPr>
                <w:bCs/>
                <w:color w:val="000000"/>
                <w:sz w:val="16"/>
                <w:szCs w:val="16"/>
              </w:rPr>
              <w:t>15</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4E443995">
            <w:pPr>
              <w:spacing w:line="240" w:lineRule="auto"/>
              <w:rPr>
                <w:bCs/>
                <w:sz w:val="16"/>
                <w:szCs w:val="16"/>
              </w:rPr>
            </w:pPr>
            <w:r>
              <w:rPr>
                <w:bCs/>
                <w:sz w:val="16"/>
                <w:szCs w:val="16"/>
              </w:rPr>
              <w:t>AV. CONTÔRNO NORTE X R. PANTANAL</w:t>
            </w:r>
          </w:p>
        </w:tc>
        <w:tc>
          <w:tcPr>
            <w:tcW w:w="1418" w:type="dxa"/>
            <w:tcBorders>
              <w:top w:val="single" w:color="auto" w:sz="4" w:space="0"/>
              <w:left w:val="single" w:color="auto" w:sz="4" w:space="0"/>
              <w:bottom w:val="single" w:color="auto" w:sz="4" w:space="0"/>
              <w:right w:val="single" w:color="auto" w:sz="4" w:space="0"/>
            </w:tcBorders>
            <w:vAlign w:val="center"/>
          </w:tcPr>
          <w:p w14:paraId="2A61D82E">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06AF2864">
            <w:pPr>
              <w:spacing w:line="240" w:lineRule="auto"/>
              <w:jc w:val="center"/>
              <w:rPr>
                <w:bCs/>
                <w:color w:val="000000"/>
                <w:sz w:val="16"/>
                <w:szCs w:val="16"/>
              </w:rPr>
            </w:pPr>
            <w:r>
              <w:rPr>
                <w:bCs/>
                <w:color w:val="000000"/>
                <w:sz w:val="16"/>
                <w:szCs w:val="16"/>
              </w:rPr>
              <w:t>2</w:t>
            </w:r>
          </w:p>
        </w:tc>
      </w:tr>
      <w:tr w14:paraId="4FC079DE">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727A58A8">
            <w:pPr>
              <w:spacing w:line="240" w:lineRule="auto"/>
              <w:jc w:val="center"/>
              <w:rPr>
                <w:bCs/>
                <w:color w:val="000000"/>
                <w:sz w:val="16"/>
                <w:szCs w:val="16"/>
              </w:rPr>
            </w:pPr>
            <w:r>
              <w:rPr>
                <w:bCs/>
                <w:color w:val="000000"/>
                <w:sz w:val="16"/>
                <w:szCs w:val="16"/>
              </w:rPr>
              <w:t>16</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AA81978">
            <w:pPr>
              <w:spacing w:line="240" w:lineRule="auto"/>
              <w:rPr>
                <w:bCs/>
                <w:sz w:val="16"/>
                <w:szCs w:val="16"/>
              </w:rPr>
            </w:pPr>
            <w:r>
              <w:rPr>
                <w:bCs/>
                <w:sz w:val="16"/>
                <w:szCs w:val="16"/>
              </w:rPr>
              <w:t>R. 7 X R. JOSÉ XAVIER MORENO</w:t>
            </w:r>
          </w:p>
        </w:tc>
        <w:tc>
          <w:tcPr>
            <w:tcW w:w="1418" w:type="dxa"/>
            <w:tcBorders>
              <w:top w:val="single" w:color="auto" w:sz="4" w:space="0"/>
              <w:left w:val="single" w:color="auto" w:sz="4" w:space="0"/>
              <w:bottom w:val="single" w:color="auto" w:sz="4" w:space="0"/>
              <w:right w:val="single" w:color="auto" w:sz="4" w:space="0"/>
            </w:tcBorders>
            <w:vAlign w:val="center"/>
          </w:tcPr>
          <w:p w14:paraId="7DE5F4EB">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79F1E3E3">
            <w:pPr>
              <w:spacing w:line="240" w:lineRule="auto"/>
              <w:jc w:val="center"/>
              <w:rPr>
                <w:bCs/>
                <w:color w:val="000000"/>
                <w:sz w:val="16"/>
                <w:szCs w:val="16"/>
              </w:rPr>
            </w:pPr>
            <w:r>
              <w:rPr>
                <w:bCs/>
                <w:color w:val="000000"/>
                <w:sz w:val="16"/>
                <w:szCs w:val="16"/>
              </w:rPr>
              <w:t>2</w:t>
            </w:r>
          </w:p>
        </w:tc>
      </w:tr>
      <w:tr w14:paraId="26F7CE2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12B10D69">
            <w:pPr>
              <w:spacing w:line="240" w:lineRule="auto"/>
              <w:jc w:val="center"/>
              <w:rPr>
                <w:bCs/>
                <w:color w:val="000000"/>
                <w:sz w:val="16"/>
                <w:szCs w:val="16"/>
              </w:rPr>
            </w:pPr>
            <w:r>
              <w:rPr>
                <w:bCs/>
                <w:color w:val="000000"/>
                <w:sz w:val="16"/>
                <w:szCs w:val="16"/>
              </w:rPr>
              <w:t>17</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2D5C343C">
            <w:pPr>
              <w:spacing w:line="240" w:lineRule="auto"/>
              <w:rPr>
                <w:bCs/>
                <w:sz w:val="16"/>
                <w:szCs w:val="16"/>
              </w:rPr>
            </w:pPr>
            <w:r>
              <w:rPr>
                <w:bCs/>
                <w:sz w:val="16"/>
                <w:szCs w:val="16"/>
              </w:rPr>
              <w:t>AV. GOIANIA X R. TREZE</w:t>
            </w:r>
          </w:p>
        </w:tc>
        <w:tc>
          <w:tcPr>
            <w:tcW w:w="1418" w:type="dxa"/>
            <w:tcBorders>
              <w:top w:val="single" w:color="auto" w:sz="4" w:space="0"/>
              <w:left w:val="single" w:color="auto" w:sz="4" w:space="0"/>
              <w:bottom w:val="single" w:color="auto" w:sz="4" w:space="0"/>
              <w:right w:val="single" w:color="auto" w:sz="4" w:space="0"/>
            </w:tcBorders>
            <w:vAlign w:val="center"/>
          </w:tcPr>
          <w:p w14:paraId="454CB963">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2B70F1C5">
            <w:pPr>
              <w:spacing w:line="240" w:lineRule="auto"/>
              <w:jc w:val="center"/>
              <w:rPr>
                <w:bCs/>
                <w:color w:val="000000"/>
                <w:sz w:val="16"/>
                <w:szCs w:val="16"/>
              </w:rPr>
            </w:pPr>
            <w:r>
              <w:rPr>
                <w:bCs/>
                <w:color w:val="000000"/>
                <w:sz w:val="16"/>
                <w:szCs w:val="16"/>
              </w:rPr>
              <w:t>2</w:t>
            </w:r>
          </w:p>
        </w:tc>
      </w:tr>
      <w:tr w14:paraId="7123D377">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7CC9B15">
            <w:pPr>
              <w:spacing w:line="240" w:lineRule="auto"/>
              <w:jc w:val="center"/>
              <w:rPr>
                <w:bCs/>
                <w:color w:val="000000"/>
                <w:sz w:val="16"/>
                <w:szCs w:val="16"/>
              </w:rPr>
            </w:pPr>
            <w:r>
              <w:rPr>
                <w:bCs/>
                <w:color w:val="000000"/>
                <w:sz w:val="16"/>
                <w:szCs w:val="16"/>
              </w:rPr>
              <w:t>18</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5F666000">
            <w:pPr>
              <w:spacing w:line="240" w:lineRule="auto"/>
              <w:rPr>
                <w:bCs/>
                <w:sz w:val="16"/>
                <w:szCs w:val="16"/>
              </w:rPr>
            </w:pPr>
            <w:r>
              <w:rPr>
                <w:bCs/>
                <w:sz w:val="16"/>
                <w:szCs w:val="16"/>
              </w:rPr>
              <w:t>AV. MAGNÓLIA ANGELICA ARAUJO X R. GIRASSOL C/B</w:t>
            </w:r>
          </w:p>
        </w:tc>
        <w:tc>
          <w:tcPr>
            <w:tcW w:w="1418" w:type="dxa"/>
            <w:tcBorders>
              <w:top w:val="single" w:color="auto" w:sz="4" w:space="0"/>
              <w:left w:val="single" w:color="auto" w:sz="4" w:space="0"/>
              <w:bottom w:val="single" w:color="auto" w:sz="4" w:space="0"/>
              <w:right w:val="single" w:color="auto" w:sz="4" w:space="0"/>
            </w:tcBorders>
            <w:vAlign w:val="center"/>
          </w:tcPr>
          <w:p w14:paraId="757DC500">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74FB8B81">
            <w:pPr>
              <w:spacing w:line="240" w:lineRule="auto"/>
              <w:jc w:val="center"/>
              <w:rPr>
                <w:bCs/>
                <w:color w:val="000000"/>
                <w:sz w:val="16"/>
                <w:szCs w:val="16"/>
              </w:rPr>
            </w:pPr>
            <w:r>
              <w:rPr>
                <w:bCs/>
                <w:color w:val="000000"/>
                <w:sz w:val="16"/>
                <w:szCs w:val="16"/>
              </w:rPr>
              <w:t>2</w:t>
            </w:r>
          </w:p>
        </w:tc>
      </w:tr>
      <w:tr w14:paraId="7030FF43">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68CD524">
            <w:pPr>
              <w:spacing w:line="240" w:lineRule="auto"/>
              <w:jc w:val="center"/>
              <w:rPr>
                <w:bCs/>
                <w:color w:val="000000"/>
                <w:sz w:val="16"/>
                <w:szCs w:val="16"/>
              </w:rPr>
            </w:pPr>
            <w:r>
              <w:rPr>
                <w:bCs/>
                <w:color w:val="000000"/>
                <w:sz w:val="16"/>
                <w:szCs w:val="16"/>
              </w:rPr>
              <w:t>19</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03D986D2">
            <w:pPr>
              <w:spacing w:line="240" w:lineRule="auto"/>
              <w:rPr>
                <w:bCs/>
                <w:sz w:val="16"/>
                <w:szCs w:val="16"/>
              </w:rPr>
            </w:pPr>
            <w:r>
              <w:rPr>
                <w:bCs/>
                <w:sz w:val="16"/>
                <w:szCs w:val="16"/>
              </w:rPr>
              <w:t>AV. MAGNÓLIA ANGELICA ARAUJO X R. GIRASSOL B/C</w:t>
            </w:r>
          </w:p>
        </w:tc>
        <w:tc>
          <w:tcPr>
            <w:tcW w:w="1418" w:type="dxa"/>
            <w:tcBorders>
              <w:top w:val="single" w:color="auto" w:sz="4" w:space="0"/>
              <w:left w:val="single" w:color="auto" w:sz="4" w:space="0"/>
              <w:bottom w:val="single" w:color="auto" w:sz="4" w:space="0"/>
              <w:right w:val="single" w:color="auto" w:sz="4" w:space="0"/>
            </w:tcBorders>
            <w:vAlign w:val="center"/>
          </w:tcPr>
          <w:p w14:paraId="4B15D75E">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1FF40A04">
            <w:pPr>
              <w:spacing w:line="240" w:lineRule="auto"/>
              <w:jc w:val="center"/>
              <w:rPr>
                <w:bCs/>
                <w:color w:val="000000"/>
                <w:sz w:val="16"/>
                <w:szCs w:val="16"/>
              </w:rPr>
            </w:pPr>
            <w:r>
              <w:rPr>
                <w:bCs/>
                <w:color w:val="000000"/>
                <w:sz w:val="16"/>
                <w:szCs w:val="16"/>
              </w:rPr>
              <w:t>2</w:t>
            </w:r>
          </w:p>
        </w:tc>
      </w:tr>
      <w:tr w14:paraId="01CC2E46">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24F8E8F2">
            <w:pPr>
              <w:spacing w:line="240" w:lineRule="auto"/>
              <w:jc w:val="center"/>
              <w:rPr>
                <w:bCs/>
                <w:color w:val="000000"/>
                <w:sz w:val="16"/>
                <w:szCs w:val="16"/>
              </w:rPr>
            </w:pPr>
            <w:r>
              <w:rPr>
                <w:bCs/>
                <w:color w:val="000000"/>
                <w:sz w:val="16"/>
                <w:szCs w:val="16"/>
              </w:rPr>
              <w:t>20</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7C0D5F28">
            <w:pPr>
              <w:spacing w:line="240" w:lineRule="auto"/>
              <w:rPr>
                <w:bCs/>
                <w:sz w:val="16"/>
                <w:szCs w:val="16"/>
              </w:rPr>
            </w:pPr>
            <w:r>
              <w:rPr>
                <w:bCs/>
                <w:sz w:val="16"/>
                <w:szCs w:val="16"/>
              </w:rPr>
              <w:t>AV. FLORIANÓPOLIS X R. BELÉM</w:t>
            </w:r>
          </w:p>
        </w:tc>
        <w:tc>
          <w:tcPr>
            <w:tcW w:w="1418" w:type="dxa"/>
            <w:tcBorders>
              <w:top w:val="single" w:color="auto" w:sz="4" w:space="0"/>
              <w:left w:val="single" w:color="auto" w:sz="4" w:space="0"/>
              <w:bottom w:val="single" w:color="auto" w:sz="4" w:space="0"/>
              <w:right w:val="single" w:color="auto" w:sz="4" w:space="0"/>
            </w:tcBorders>
            <w:vAlign w:val="center"/>
          </w:tcPr>
          <w:p w14:paraId="28087A2B">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6843882E">
            <w:pPr>
              <w:spacing w:line="240" w:lineRule="auto"/>
              <w:jc w:val="center"/>
              <w:rPr>
                <w:bCs/>
                <w:color w:val="000000"/>
                <w:sz w:val="16"/>
                <w:szCs w:val="16"/>
              </w:rPr>
            </w:pPr>
            <w:r>
              <w:rPr>
                <w:bCs/>
                <w:color w:val="000000"/>
                <w:sz w:val="16"/>
                <w:szCs w:val="16"/>
              </w:rPr>
              <w:t>2</w:t>
            </w:r>
          </w:p>
        </w:tc>
      </w:tr>
      <w:tr w14:paraId="43D193E9">
        <w:tblPrEx>
          <w:tblCellMar>
            <w:top w:w="0" w:type="dxa"/>
            <w:left w:w="70" w:type="dxa"/>
            <w:bottom w:w="0" w:type="dxa"/>
            <w:right w:w="70" w:type="dxa"/>
          </w:tblCellMar>
        </w:tblPrEx>
        <w:trPr>
          <w:trHeight w:val="600" w:hRule="atLeast"/>
        </w:trPr>
        <w:tc>
          <w:tcPr>
            <w:tcW w:w="1011" w:type="dxa"/>
            <w:gridSpan w:val="2"/>
            <w:tcBorders>
              <w:top w:val="single" w:color="auto" w:sz="4" w:space="0"/>
              <w:left w:val="single" w:color="auto" w:sz="4" w:space="0"/>
              <w:bottom w:val="single" w:color="auto" w:sz="4" w:space="0"/>
              <w:right w:val="single" w:color="auto" w:sz="4" w:space="0"/>
            </w:tcBorders>
            <w:vAlign w:val="center"/>
          </w:tcPr>
          <w:p w14:paraId="54171956">
            <w:pPr>
              <w:spacing w:line="240" w:lineRule="auto"/>
              <w:jc w:val="center"/>
              <w:rPr>
                <w:bCs/>
                <w:color w:val="000000"/>
                <w:sz w:val="16"/>
                <w:szCs w:val="16"/>
              </w:rPr>
            </w:pPr>
            <w:r>
              <w:rPr>
                <w:bCs/>
                <w:color w:val="000000"/>
                <w:sz w:val="16"/>
                <w:szCs w:val="16"/>
              </w:rPr>
              <w:t>21</w:t>
            </w:r>
          </w:p>
        </w:tc>
        <w:tc>
          <w:tcPr>
            <w:tcW w:w="5788" w:type="dxa"/>
            <w:gridSpan w:val="2"/>
            <w:tcBorders>
              <w:top w:val="single" w:color="auto" w:sz="4" w:space="0"/>
              <w:left w:val="single" w:color="auto" w:sz="4" w:space="0"/>
              <w:bottom w:val="single" w:color="auto" w:sz="4" w:space="0"/>
              <w:right w:val="single" w:color="auto" w:sz="4" w:space="0"/>
            </w:tcBorders>
            <w:vAlign w:val="center"/>
          </w:tcPr>
          <w:p w14:paraId="1533DA2D">
            <w:pPr>
              <w:spacing w:line="240" w:lineRule="auto"/>
              <w:rPr>
                <w:bCs/>
                <w:sz w:val="16"/>
                <w:szCs w:val="16"/>
              </w:rPr>
            </w:pPr>
            <w:r>
              <w:rPr>
                <w:bCs/>
                <w:sz w:val="16"/>
                <w:szCs w:val="16"/>
              </w:rPr>
              <w:t>R. BELEM X AV. BELO HORIZONTE</w:t>
            </w:r>
          </w:p>
        </w:tc>
        <w:tc>
          <w:tcPr>
            <w:tcW w:w="1418" w:type="dxa"/>
            <w:tcBorders>
              <w:top w:val="single" w:color="auto" w:sz="4" w:space="0"/>
              <w:left w:val="single" w:color="auto" w:sz="4" w:space="0"/>
              <w:bottom w:val="single" w:color="auto" w:sz="4" w:space="0"/>
              <w:right w:val="single" w:color="auto" w:sz="4" w:space="0"/>
            </w:tcBorders>
            <w:vAlign w:val="center"/>
          </w:tcPr>
          <w:p w14:paraId="0145B356">
            <w:pPr>
              <w:spacing w:line="240" w:lineRule="auto"/>
              <w:jc w:val="center"/>
              <w:rPr>
                <w:bCs/>
                <w:sz w:val="16"/>
                <w:szCs w:val="16"/>
              </w:rPr>
            </w:pPr>
            <w:r>
              <w:rPr>
                <w:bCs/>
                <w:sz w:val="16"/>
                <w:szCs w:val="16"/>
              </w:rPr>
              <w:t>ZONA MÁXIMA DE RESTRIÇÃO</w:t>
            </w:r>
          </w:p>
        </w:tc>
        <w:tc>
          <w:tcPr>
            <w:tcW w:w="1134" w:type="dxa"/>
            <w:tcBorders>
              <w:top w:val="single" w:color="auto" w:sz="4" w:space="0"/>
              <w:left w:val="single" w:color="auto" w:sz="4" w:space="0"/>
              <w:bottom w:val="single" w:color="auto" w:sz="4" w:space="0"/>
              <w:right w:val="single" w:color="auto" w:sz="4" w:space="0"/>
            </w:tcBorders>
            <w:vAlign w:val="center"/>
          </w:tcPr>
          <w:p w14:paraId="69FDAC8D">
            <w:pPr>
              <w:spacing w:line="240" w:lineRule="auto"/>
              <w:jc w:val="center"/>
              <w:rPr>
                <w:bCs/>
                <w:color w:val="000000"/>
                <w:sz w:val="16"/>
                <w:szCs w:val="16"/>
              </w:rPr>
            </w:pPr>
            <w:r>
              <w:rPr>
                <w:bCs/>
                <w:color w:val="000000"/>
                <w:sz w:val="16"/>
                <w:szCs w:val="16"/>
              </w:rPr>
              <w:t>2</w:t>
            </w:r>
          </w:p>
        </w:tc>
      </w:tr>
    </w:tbl>
    <w:p w14:paraId="5AF9C01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p>
    <w:p w14:paraId="4B6FA482">
      <w:pPr>
        <w:pStyle w:val="3"/>
        <w:jc w:val="both"/>
        <w:rPr>
          <w:rFonts w:ascii="Arial" w:hAnsi="Arial" w:eastAsia="Arial" w:cs="Arial"/>
          <w:b/>
          <w:color w:val="000000" w:themeColor="text1"/>
          <w:sz w:val="24"/>
          <w:szCs w:val="24"/>
          <w14:textFill>
            <w14:solidFill>
              <w14:schemeClr w14:val="tx1"/>
            </w14:solidFill>
          </w14:textFill>
        </w:rPr>
      </w:pPr>
      <w:r>
        <w:rPr>
          <w:rFonts w:ascii="Arial" w:hAnsi="Arial" w:eastAsia="Arial" w:cs="Arial"/>
          <w:b/>
          <w:color w:val="000000" w:themeColor="text1"/>
          <w:sz w:val="24"/>
          <w:szCs w:val="24"/>
          <w14:textFill>
            <w14:solidFill>
              <w14:schemeClr w14:val="tx1"/>
            </w14:solidFill>
          </w14:textFill>
        </w:rPr>
        <w:t>10. Contratação de empresa especializada para operacionalização e gerenciamento de solução de fiscalização eletrônica de trânsito de Excesso de Velocidade, avanço de sinal vermelho, parada sobre faixa de travessia,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p w14:paraId="1506DFC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REQUISITOS TÉCNICOS MÍNIMOS:</w:t>
      </w:r>
    </w:p>
    <w:p w14:paraId="43C392E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Equipamentos dotados de dispositivo registrador de imagens contra o cometimento de infração no avanço de sinal vermelho, parada sobre a faixa de pedestre e transitar em excesso de velocidade, com dispositivo do tipo OCR e possibilitando a função de Videomonitoramento são equipamentos que permitem fazer o monitoramento e fiscalização eletrônica de cruzamentos, ruas e avenidas que possuam sinalização semafórica, de forma a permitir a detecção e registro automático de dados, em conjunto com o leitor OCR contemplando a leitura das placas dos veículos e seus respectivos registros fotográficos; a captação da imagem dos veículos que cometam as infrações de trânsito do tipo Parada sobre a faixa de pedestres; o Desrespeito a fase vermelha do semáforo, veículos transitando em excesso de velocidade e controle de zona máxima de restrição de veículos, bem como serem dotados de câmeras panorâmicas que permitem o monitoramento por em tempo real, diretamente na CCO (Central de Controle Operacional localizada na Prefeitura Municipal de Rondonópolis). São usados em locais onde o avanço de sinal vermelho e o excesso de velocidade apresentam se como grandes fatores de risco para os condutores e pedestres e devem atender a todos os requisitos constantes nas Normas, Resoluções, Deliberações, Portarias, regulamentações e legislações vigentes, sejam elas o CTB, CONTRAN, SENATRAN, INMETRO ou do contratante, apresentando as seguintes características:</w:t>
      </w:r>
    </w:p>
    <w:p w14:paraId="40E6CDC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estar homologado e atender a todos os critérios listados na Portaria 158 de 31 de março de 2022 do Inmetro;</w:t>
      </w:r>
    </w:p>
    <w:p w14:paraId="717137C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e demais itens agregados ao mesmo deverão atender na íntegra a Resolução nº 798/2020 do CONTRAN, PORTARIA SENATRAN nº 16/2004, Portarias nº492/2021 e 158/2022 do INMETRO e respectivas alterações e atualizações pertinentes, bem como as demais normas legais e regulamentações vigentes do Código de Trânsito Brasileiro, SENATRAN, CONTRAN e INMETRO.</w:t>
      </w:r>
    </w:p>
    <w:p w14:paraId="1F761AD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sistema de detecção dos veículos através de sensores do tipo não intrusivos doppler, utilizando 01 (um) sensor para cada faixa de rolamento monitorada, de forma que uma eventual falha em um dos sensores não afete o funcionamento das demais faixas monitoradas;</w:t>
      </w:r>
    </w:p>
    <w:p w14:paraId="10EFCD6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câmera panorâmica que permita o videomonitoramento em tempo real do local fiscalizado, através de sistema disponibilizado juntamente com a Central de Processamento e Monitoramento;</w:t>
      </w:r>
    </w:p>
    <w:p w14:paraId="5AA8679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sistema de registro automático de dados e imagens, um para cada faixa de rolamento monitorada, dos veículos que cometerem as infrações do tipo Parada sobre a faixa de pedestre, avanço do sinal vermelho, transitar em excesso de velocidade e controle de zona máxima de restrição, com os seguintes enquadramentos:</w:t>
      </w:r>
    </w:p>
    <w:p w14:paraId="099C323B">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Código: 74550 – Artigo 218*I - Transitar em velocidade superior à máxima permitida em até 20%.</w:t>
      </w:r>
    </w:p>
    <w:p w14:paraId="483FB163">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74630 – Artigo 218*II - Transitar em velocidade superior à máxima permitida em mais de 20% até 50%.</w:t>
      </w:r>
    </w:p>
    <w:p w14:paraId="4E850665">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74710 – Artigo 218*III - Transitar em velocidade superior à máxima permitida em mais de 50%.</w:t>
      </w:r>
    </w:p>
    <w:p w14:paraId="60532BF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Avançar o sinal vermelho do semáforo – fiscalização eletrônica – Art. 208, CTB: 605 -03.</w:t>
      </w:r>
    </w:p>
    <w:p w14:paraId="71CA129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Parar sobre a faixa de pedestres na mudança de sinal luminoso – fiscalização eletrônica – Art. 183, CTB: 567-32.</w:t>
      </w:r>
    </w:p>
    <w:p w14:paraId="7039359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enviar de forma on-line os registros de infrações capturados para o sistema de Processamento de infrações que deverá estar disponibilizado juntamente com a Central de Processamento e Monitoramento;</w:t>
      </w:r>
    </w:p>
    <w:p w14:paraId="5DC9441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sistema de captura e armazenamento dos dados estatísticos gerados pelos veículos infratores e não infratores visando à geração de relatórios estatísticos, com envio on-line para o sistema de Processamento de infrações;</w:t>
      </w:r>
    </w:p>
    <w:p w14:paraId="0D46BBD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sistema de OCR “Optical Character Recognition”, permitindo a leitura automática das placas de todos os veículos, com envio em tempo real para o Sistema de Monitoramento de Placas de veículos que deverá estar disponibilizado juntamente com a Central de Processamento e Monitoramento;</w:t>
      </w:r>
    </w:p>
    <w:p w14:paraId="6DA00C0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licenças OCRs individuais, no mínimo, para cada equipamento;</w:t>
      </w:r>
    </w:p>
    <w:p w14:paraId="2FF95C5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envio dos dados e imagens capturados pelo sistema de OCR do equipamento para o Sistema de Monitoramento de OCR deverá ser realizado em, no máximo, 10 (dez) segundos após a passagem do veículo pelo local monitorado;</w:t>
      </w:r>
    </w:p>
    <w:p w14:paraId="0C58C86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índice de leitura de placas veiculares corretas efetuadas por cada equipamento deverá ser superior a 80% (oitenta por cento) considerando o fluxo total de veículos que transitarem pelas faixas monitoradas. Para fins de aproveitamento serão desconsiderados veículos sem placas, com placas demasiadamente sujas ou amassadas, placas encobertas ou fora do padrão de placas do Código de Trânsito Brasileiro e pelo Mercosul.</w:t>
      </w:r>
    </w:p>
    <w:p w14:paraId="450C095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disponibilizar imagens panorâmicas para videomonitoramento em tempo real, através de canal de vídeo RSTP para integração com outras plataformas, com taxa de atualização mínima de 15 FPS e resolução de 2MP.</w:t>
      </w:r>
    </w:p>
    <w:p w14:paraId="79CFB2E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deverão possuir câmeras de captura independentes para cada uma das faixas de trânsito fiscalizadas. A fiscalização eletrônica deverá ocorrer de forma independente por faixa e eventuais problemas em uma determinada câmera não poderão afetar a operação das demais. Estas câmeras deverão capturar a imagem em zoom para cada faixa de rolamento, devendo ser multicromáticas durante o dia e podendo ser em preto e branco durante à noite e em condições de luminosidade ruim;</w:t>
      </w:r>
    </w:p>
    <w:p w14:paraId="300F801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Para cada infração deverão ser apresentadas duas imagens, uma imagem focada na placa do veículo e outra imagem panorâmica mostrando o veículo e seu entorno. As imagens capturadas deverão possuir uma resolução mínima de 2MP;</w:t>
      </w:r>
    </w:p>
    <w:p w14:paraId="5DB1DE7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gerar imagens digitais que possibilitem ao analista, a olho nu, identificar o veículo infrator, os caracteres alfanuméricos da placa, sua marca, modelo e espécie;</w:t>
      </w:r>
    </w:p>
    <w:p w14:paraId="0BB0CC4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coleta das imagens e dos dados gerados pelo equipamento deverá ser on-line. Eventualmente, quando da indisponibilidade do serviço de conexão, a contratada poderá realizar a coleta de forma manual, em no máximo 72 horas a contar da data de envio do último pacote de informações.</w:t>
      </w:r>
    </w:p>
    <w:p w14:paraId="1899B77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Monitorar a sequência semafórica (verde, amarelo, vermelho), de forma que, ao detectar falha na passagem de alguma dessas fases, desative as funções de captura de infrações por avanço de semáforo e parada sobre a faixa de pedestres até que o próximo ciclo completo se efetive, quando então deverá voltar a capturar as infrações citadas (avanço de semáforo e parada sobre a faixa de pedestres).</w:t>
      </w:r>
    </w:p>
    <w:p w14:paraId="5C1FBA0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 possibilitar a operação simultânea ou isolada dos tipos de infração (avanço semafórico, parada sobre a faixa de pedestres, excesso velocidade), permitindo também, a combinação de duas ou mais infrações simultaneamente.</w:t>
      </w:r>
    </w:p>
    <w:p w14:paraId="4831678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as infrações relacionadas ao excesso de velocidade em qualquer condição das fases semafóricas;</w:t>
      </w:r>
    </w:p>
    <w:p w14:paraId="2A5E7C7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circuito de proteção contra descargas atmosféricas no sistema de entrada de energia;</w:t>
      </w:r>
    </w:p>
    <w:p w14:paraId="05D9BED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Funcionar com alimentação elétrica de corrente alternada, 60 Hz, e tensão de entrada de 220 Volts e conter obrigatoriamente o sistema de aterramento;</w:t>
      </w:r>
    </w:p>
    <w:p w14:paraId="0D7A2CB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Retornar à operação normal, automaticamente, em caso de ocorrência do desarme por interrupção de energia elétrica. Quando ocorrer o desarme, o equipamento deverá conservar os dados, imagens e o relógio interno por período de até 48 horas, detectável e expresso em relatório posterior ao evento;</w:t>
      </w:r>
    </w:p>
    <w:p w14:paraId="2313668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Deverá possuir “no-break” com capacidade mínima de 15 minutos de funcionamento em caso de falta de energia. O sistema deve prever desligamento de forma correta, a fim de que não haja possibilidade de que os dados armazenados sejam corrompidos pelo desligamento repentino de energia. Ao retornar o fornecimento normal de energia elétrica, o sistema deverá iniciar automaticamente o funcionamento.</w:t>
      </w:r>
    </w:p>
    <w:p w14:paraId="3A519D1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controles eletrônicos através de microprocessador;</w:t>
      </w:r>
    </w:p>
    <w:p w14:paraId="680456D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permitir sincronismo de seu relógio de tempo real (RTC) interno com o horário de Brasília, não permitindo erros maiores do que mais ou menos 1 (um) segundo. Este relógio deverá possuir bateria de “backup” de longa duração (dois anos no mínimo) de maneira a não ser afetado por eventuais interrupções no fornecimento de energia elétrica.</w:t>
      </w:r>
    </w:p>
    <w:p w14:paraId="09846DF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estrutura externa resistente a vandalismo e intempéries, com dispositivos de vedação que impeçam a entrada de poeira e umidade, devidamente tratada contra oxidação galvânica e eletrolítica, possuindo resistência estrutural para suportar os esforços atuantes devidos à ação de ventos.</w:t>
      </w:r>
    </w:p>
    <w:p w14:paraId="387C74B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dispositivo de estabilização de energia, com proteção contra variações de tensão ou corrente;</w:t>
      </w:r>
    </w:p>
    <w:p w14:paraId="1996DA0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Permitir a captura de imagens de veículos de qualquer porte, tamanho, peso, altura, largura e comprimento, contido no Código Brasileiro de Trânsito - CTB ou em outras normas regulamentadoras vigentes;</w:t>
      </w:r>
    </w:p>
    <w:p w14:paraId="2AB54C3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sistema de captação de imagem panorâmica colorida que possibilite a geração de imagens multicromáticas, contendo os focos semafóricos, a faixa de pedestres, a faixa de retenção, todas as faixas de rolamento da aproximação, a zona de conflito da interseção e a continuidade da via após a zona de conflito, durante as 24 horas do dia, permitindo caracterizar o veículo infrator no local da infração, imagem está acoplada à imagem de identificação veicular sem prejuízo para esta identificação;</w:t>
      </w:r>
    </w:p>
    <w:p w14:paraId="083A7D8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registros fotográficos dos veículos deverão ser numerados sequencialmente no momento da sua detecção.</w:t>
      </w:r>
    </w:p>
    <w:p w14:paraId="46EE74D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Usar sistema de iluminadores antiofuscantes imperceptíveis ao olho humano para possibilitar o funcionamento dos medidores em qualquer condição de iluminação natural de dia ou de noite, permitindo o cadastramento da placa do veículo;</w:t>
      </w:r>
    </w:p>
    <w:p w14:paraId="4504486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capturadas deverão possuir uma resolução mínima de no mínimo 2MP;</w:t>
      </w:r>
    </w:p>
    <w:p w14:paraId="505B308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Para a fiscalização de avanço de sinal vermelho no semáforo, o equipamento/sistema fixo deverá obedecer aos seguintes procedimentos:</w:t>
      </w:r>
    </w:p>
    <w:p w14:paraId="5562587A">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Detectar o veículo preferencialmente após a faixa de pedestres ou, na sua inexistência, após a linha de retenção quando o sinal já estiver no vermelho, ou de acordo com o projeto tipo disponibilizado pela Contratante;</w:t>
      </w:r>
    </w:p>
    <w:p w14:paraId="38E9368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Registrar a imagem após o tempo de retardo, estando o veículo na área de conflito.</w:t>
      </w:r>
    </w:p>
    <w:p w14:paraId="65DED78D">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O equipamento deve permanecer inibido, não registrando imagem enquanto estiver ativo o foco verde ou o foco amarelo do semáforo veicular de referência.</w:t>
      </w:r>
    </w:p>
    <w:p w14:paraId="310020A1">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Na imagem detectada registrar, no mínimo, um dos focos vermelhos do semáforo veicular de referência e a faixa de travessia de pedestres, mesmo que parcial, ou na sua inexistência, a linha de retenção da aproximação fiscalizada.</w:t>
      </w:r>
    </w:p>
    <w:p w14:paraId="6CF0833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Os equipamentos deverão registrar no mínimo 02 (duas) imagens panorâmicas para que não restem dúvidas quanto ao avanço do sinal vermelho pelo veículo infrator. A primeira imagem registra o semáforo vermelho e o veículo infrator imediatamente antes de adentrar ao cruzamento. A segunda imagem registra o veículo adentrando o cruzamento, semáforo ainda no foco vermelho e a faixa de pedestre, mesmo que parcial, ou a linha de retenção, se não houver faixa de pedestres.</w:t>
      </w:r>
    </w:p>
    <w:p w14:paraId="61E80205">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Os equipamentos deverão registrar 01 (uma) imagem adicional (zoom) para identificar a placa do veículo.</w:t>
      </w:r>
    </w:p>
    <w:p w14:paraId="1CA256A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Para a fiscalização de parada sobre a faixa de travessia de pedestres na mudança de sinal luminoso, o equipamento/sistema fixo deverá:</w:t>
      </w:r>
    </w:p>
    <w:p w14:paraId="1AE32088">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Registrar a imagem do veículo parado sobre a faixa de travessia de pedestres, decorrido o tempo de permanência após a mudança do sinal determinado para o local.</w:t>
      </w:r>
    </w:p>
    <w:p w14:paraId="1663CF6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O equipamento deve permanecer inibido, não registrando a imagem enquanto estiver ativo o foco verde ou o foco amarelo do semáforo veicular de referência.</w:t>
      </w:r>
    </w:p>
    <w:p w14:paraId="0E18A5F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Na imagem detectada registrar, no mínimo, um dos focos vermelhos do semáforo veicular de referência e o veículo sobre a faixa de travessia de pedestres da aproximação fiscalizada.</w:t>
      </w:r>
    </w:p>
    <w:p w14:paraId="62A4D99D">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 xml:space="preserve">Para captar infração de parada sobre a faixa de travessia de pedestres na mudança de sinal luminoso o equipamento deve registrar 1 (uma) imagem após o tempo de </w:t>
      </w:r>
      <w:r>
        <w:t>permanência, sendo</w:t>
      </w:r>
      <w:r>
        <w:rPr>
          <w:color w:val="000000"/>
        </w:rPr>
        <w:t xml:space="preserve"> possível identificar a faixa de pedestres após à mudança do sinal. A segunda imagem deve ser registrada quando o veículo transpuser a área de influência dos sensores.</w:t>
      </w:r>
    </w:p>
    <w:p w14:paraId="693D3BCB">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Os equipamentos deverão registrar 01 (uma) imagem adicional (zoom) para identificar a placa do veículo.</w:t>
      </w:r>
    </w:p>
    <w:p w14:paraId="6D2BB9D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Produzir um vídeo com duração mínima que registre o momento anterior, o cometimento e o momento posterior à cada infração, para dirimir dúvidas e/ou comprovar infração;</w:t>
      </w:r>
    </w:p>
    <w:p w14:paraId="4184E71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padrão de arquivamento das imagens deverá ser em extensão compatível com o existente no mercado, sem prejuízo a identificação do veículo e outras informações;</w:t>
      </w:r>
    </w:p>
    <w:p w14:paraId="22A308F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Detectar falha em qualquer um dos módulos do equipamento gerando arquivo de log para posterior consulta;</w:t>
      </w:r>
    </w:p>
    <w:p w14:paraId="639CE0B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Cada equipamento deverá ser capaz de registrar e armazenar no mínimo uma imagem por segundo por faixa eletronicamente controlada, em, no mínimo, 4 (quatro) faixas de trânsito, sejam elas no mesmo sentido ou em sentido opostos (de acordo com as características de cada local proposto). Ocorrendo infrações simultaneamente em faixas distintas, o equipamento deverá registrar tais infrações simultaneamente;</w:t>
      </w:r>
    </w:p>
    <w:p w14:paraId="1465FAF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 Deverão ser resistentes a vandalismo, vibrações externas provenientes do tráfego intenso, impactos, intempéries, altas e baixas temperaturas, com dispositivos de vedação que </w:t>
      </w:r>
      <w:r>
        <w:t>impeça</w:t>
      </w:r>
      <w:r>
        <w:rPr>
          <w:color w:val="000000"/>
        </w:rPr>
        <w:t xml:space="preserve"> a entrada de poeira e umidade, devidamente tratada contra oxidação galvânica e eletrolítica, possuindo resistência estrutural para suportar os esforços atuantes devidos à ação de ventos;</w:t>
      </w:r>
    </w:p>
    <w:p w14:paraId="275A975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possibilitar o registro das imagens dos veículos pela placa traseira;</w:t>
      </w:r>
    </w:p>
    <w:p w14:paraId="596C15B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permitir a classificação dos veículos em, no mínimo, três categorias: veículo de pequeno porte, veículo de médio porte e veículo de grande porte;</w:t>
      </w:r>
    </w:p>
    <w:p w14:paraId="2289905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 registrar dados referentes à passagem de cada veículo quantificando e armazenando em memória o número de veículos que passam com os dados relativos ao horário dos mesmos, apresentando nas imagens registradas, no mínimo, os seguintes dados:</w:t>
      </w:r>
    </w:p>
    <w:p w14:paraId="1272BC9D">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(dia/mês/ano);</w:t>
      </w:r>
    </w:p>
    <w:p w14:paraId="56BA7B32">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(hora/ minuto/ segundo);</w:t>
      </w:r>
    </w:p>
    <w:p w14:paraId="4B1514CA">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(código identificador do local);</w:t>
      </w:r>
    </w:p>
    <w:p w14:paraId="02CB6B3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da faixa de rolamento;</w:t>
      </w:r>
    </w:p>
    <w:p w14:paraId="50DDE58A">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Placa de veículo;</w:t>
      </w:r>
    </w:p>
    <w:p w14:paraId="6BBBCBE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Registrada.</w:t>
      </w:r>
    </w:p>
    <w:p w14:paraId="1E8B506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as imagens de cada infração, juntamente com os seguintes dados:</w:t>
      </w:r>
    </w:p>
    <w:p w14:paraId="6198BC2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 Para infração de Avanço de Sinal Vermelho:</w:t>
      </w:r>
    </w:p>
    <w:p w14:paraId="3B775FF0">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da infração em dia, mês e ano (DD/MM/AAAA);</w:t>
      </w:r>
    </w:p>
    <w:p w14:paraId="6DA85B5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com hora, minuto, segundo (hh:mm:ss);</w:t>
      </w:r>
    </w:p>
    <w:p w14:paraId="6EC6158A">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de operação;</w:t>
      </w:r>
    </w:p>
    <w:p w14:paraId="40353AA8">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para identificação do equipamento;</w:t>
      </w:r>
    </w:p>
    <w:p w14:paraId="55180BA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Tempo Decorrido de Vermelho;</w:t>
      </w:r>
    </w:p>
    <w:p w14:paraId="16850B73">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Tempo de Retardo;</w:t>
      </w:r>
    </w:p>
    <w:p w14:paraId="0914EA36">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Faixa de rolamento monitorada;</w:t>
      </w:r>
    </w:p>
    <w:p w14:paraId="0269CC46">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sequencial do registro;</w:t>
      </w:r>
    </w:p>
    <w:p w14:paraId="2FCE44D1">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do Enquadramento;</w:t>
      </w:r>
    </w:p>
    <w:p w14:paraId="1732BFED">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Descrição do Enquadramento.</w:t>
      </w:r>
    </w:p>
    <w:p w14:paraId="2F20D53B">
      <w:pPr>
        <w:pStyle w:val="72"/>
        <w:numPr>
          <w:ilvl w:val="0"/>
          <w:numId w:val="16"/>
        </w:numPr>
      </w:pPr>
      <w:r>
        <w:t>Operar na faixa de 20 a 280 km/h.</w:t>
      </w:r>
    </w:p>
    <w:p w14:paraId="6BA97CBF">
      <w:pPr>
        <w:pBdr>
          <w:top w:val="none" w:color="auto" w:sz="0" w:space="0"/>
          <w:left w:val="none" w:color="auto" w:sz="0" w:space="0"/>
          <w:bottom w:val="none" w:color="auto" w:sz="0" w:space="0"/>
          <w:right w:val="none" w:color="auto" w:sz="0" w:space="0"/>
          <w:between w:val="none" w:color="auto" w:sz="0" w:space="0"/>
        </w:pBdr>
        <w:spacing w:line="230" w:lineRule="auto"/>
        <w:ind w:left="722" w:right="2"/>
        <w:jc w:val="both"/>
      </w:pPr>
    </w:p>
    <w:p w14:paraId="10F9A1D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b) Para Infração de Parada sobre a Faixa de Pedestre:</w:t>
      </w:r>
    </w:p>
    <w:p w14:paraId="53C29E87">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da infração em dia, mês e ano (DD/MM/AAAA);</w:t>
      </w:r>
    </w:p>
    <w:p w14:paraId="6C4890A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com hora, minuto, segundo (hh:mm:ss);</w:t>
      </w:r>
    </w:p>
    <w:p w14:paraId="36E37C2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de operação;</w:t>
      </w:r>
    </w:p>
    <w:p w14:paraId="501E409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para identificação do equipamento;</w:t>
      </w:r>
    </w:p>
    <w:p w14:paraId="33A03CE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Tempo Decorrido de Vermelho;</w:t>
      </w:r>
    </w:p>
    <w:p w14:paraId="254CC97A">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Tempo de Permanência;</w:t>
      </w:r>
    </w:p>
    <w:p w14:paraId="0DDA0E36">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Faixa de rolamento monitorada;</w:t>
      </w:r>
    </w:p>
    <w:p w14:paraId="015FECA3">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sequencial do registro;</w:t>
      </w:r>
    </w:p>
    <w:p w14:paraId="5805D37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do Enquadramento;</w:t>
      </w:r>
    </w:p>
    <w:p w14:paraId="728EB3E1">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Descrição do Enquadramento.</w:t>
      </w:r>
    </w:p>
    <w:p w14:paraId="6797ABC2">
      <w:pPr>
        <w:widowControl w:val="0"/>
        <w:ind w:right="26"/>
        <w:jc w:val="both"/>
      </w:pPr>
    </w:p>
    <w:p w14:paraId="40A5166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c) Para infrações de velocidade:</w:t>
      </w:r>
    </w:p>
    <w:p w14:paraId="185960F6">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da infração em dia, mês e ano (DD/MM/AAAA);</w:t>
      </w:r>
    </w:p>
    <w:p w14:paraId="37E9744A">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com hora, minuto, segundo (hh:mm:ss);</w:t>
      </w:r>
    </w:p>
    <w:p w14:paraId="121F1A32">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de operação;</w:t>
      </w:r>
    </w:p>
    <w:p w14:paraId="4E3CA570">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para identificação do equipamento;</w:t>
      </w:r>
    </w:p>
    <w:p w14:paraId="07A39926">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Data da Aferição: (DD/MM/AAAA);</w:t>
      </w:r>
    </w:p>
    <w:p w14:paraId="2A370A0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Faixa de rolamento monitorada;</w:t>
      </w:r>
    </w:p>
    <w:p w14:paraId="1C8812AC">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regulamentada, em km/h;</w:t>
      </w:r>
    </w:p>
    <w:p w14:paraId="2B411472">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medida, em km/h;</w:t>
      </w:r>
    </w:p>
    <w:p w14:paraId="7ABA2996">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sequencial do registro;</w:t>
      </w:r>
    </w:p>
    <w:p w14:paraId="52DA46F8">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do Enquadramento;</w:t>
      </w:r>
    </w:p>
    <w:p w14:paraId="1AE16C17">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Descrição do Enquadramento.</w:t>
      </w:r>
    </w:p>
    <w:p w14:paraId="54FC799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Demais dados que permitam a melhor identificação do veículo infrator e da infração cometida, a propiciar a pronta e perfeita lavratura de Auto de Infração de Trânsito nos termos da Lei Federal n. 9.503/97 e alterações, Resoluções do CONTRAN e Portarias do SENATRAN.</w:t>
      </w:r>
    </w:p>
    <w:p w14:paraId="74D1310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permitir a transferência de dados (fluxos e imagens dos veículos infratores), de forma on-line entre os equipamentos e a Central de Controle Operacional - CCO, através de rede de fibra óptica dedicada para tal transmissão. Em caso de falha na transmissão dos dados, deverão ser armazenados, para posterior envio remoto para processamento, auditoria e envio dos Autos;</w:t>
      </w:r>
    </w:p>
    <w:p w14:paraId="1853BD7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possibilitar, sempre que o contratante desejar, a entrada em funcionamento em horário programado;</w:t>
      </w:r>
    </w:p>
    <w:p w14:paraId="5F97DD2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Cada equipamento deverá ser acompanhado de seu respectivo Manual de Operação, em português;</w:t>
      </w:r>
    </w:p>
    <w:p w14:paraId="600D504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realizar levantamentos estatístico, volumétrico e classificatório de todos os veículos que passarem em por sua área de detecção;</w:t>
      </w:r>
    </w:p>
    <w:p w14:paraId="79CEA05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Permitir a contagem de tráfego qualitativa e a emissão de relatórios na Central, de acordo com os seguintes requisitos:</w:t>
      </w:r>
    </w:p>
    <w:p w14:paraId="06E9376B">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a) Contagem quantitativa de tráfego de todos os veículos a cada 15 minutos e por dia fornecendo o volume diário médio (VDM) que transita no local;</w:t>
      </w:r>
    </w:p>
    <w:p w14:paraId="3BFFBE3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b) Registro da velocidade média de todos os veículos a cada 15 minutos e por dia, por faixa monitorada;</w:t>
      </w:r>
    </w:p>
    <w:p w14:paraId="5D32171B">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 Listagem de veículos infratores X placas; infratores X categorias; infratores X espécies; infratores X tipos;</w:t>
      </w:r>
    </w:p>
    <w:p w14:paraId="65AD44B1">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 Listagem de veículos organizados por data e horário de passagem, vinculados a leitura da placa e a velocidade de passagem;</w:t>
      </w:r>
    </w:p>
    <w:p w14:paraId="43312AF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e) Número de veículos infratores por local, hora, dia, mês e ano;</w:t>
      </w:r>
    </w:p>
    <w:p w14:paraId="504B334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 Relatórios estatísticos de multas por enquadramento e por equipamento, bem como geração de gráficos.</w:t>
      </w:r>
    </w:p>
    <w:p w14:paraId="6FFC19C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no momento de sua captura, devem ser armazenadas criptografadas por algoritmo reconhecidamente seguro, comprovado através de laudo de instituições privadas ou públicas, fundações de pesquisas, etc, nacionais ou internacionais, que impeça qualquer tentativa de adulteração;</w:t>
      </w:r>
    </w:p>
    <w:p w14:paraId="35764E2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coletadas em campo somente poderão ser visualizadas após o processo de descriptografia, o qual deverá ocorrer nas dependências da CONTRATANTE. Somente os computadores destinados ao processamento e consistência das imagens deverão possuir o respectivo software de descriptografia (Central de Processamento). Somente as pessoas autorizadas pela CONTRATANTE, poderão utilizar o software de descriptografia, mediante o uso de senha pessoal e restrita.</w:t>
      </w:r>
    </w:p>
    <w:p w14:paraId="16A0D3B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empresa deverá estar atualizada em termos de inovações tecnológicas e legais acerca do objeto deste edital afim de que os processos sejam mais dinâmicos e modernizados, no que tange o processamento e qualidade do serviço e adequados à legislação específica;</w:t>
      </w:r>
    </w:p>
    <w:p w14:paraId="32E6A0A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registros efetuados pelo equipamento devem permitir a elaboração e impressão de Autos de Infração informatizados, a partir dos registros/imagens obtidos;</w:t>
      </w:r>
    </w:p>
    <w:p w14:paraId="54AE98C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de modo contínuo, veículos que trafegam em sequência, em situações de infração em todas as faixas monitoradas;</w:t>
      </w:r>
    </w:p>
    <w:p w14:paraId="4927461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tempo de retardo do avanço de sinal vermelho do semáforo, conforme previsto na Portaria SENATRAN nº 16/2004, deverá ser configurável entre 0 (zero) a 05 (cinco) segundos, em passos de um segundo;</w:t>
      </w:r>
    </w:p>
    <w:p w14:paraId="02B96EC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tempo de permanência do veículo sobre a faixa de travessia de pedestres, conforme previsto na Portaria SENATRAN nº 16/2004, deverá ser configurável entre 05 (cinco) e 12 (doze) segundos, em passos de um segundo;</w:t>
      </w:r>
    </w:p>
    <w:p w14:paraId="162387D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tempos previstos nos itens acima poderão ser modificados em qualquer tempo pela CONTRATANTE mediante justificativa técnica;</w:t>
      </w:r>
    </w:p>
    <w:p w14:paraId="7F5B27A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Apresentar índice de aproveitamento das imagens válidas de no mínimo 90% (noventa por cento) para imagens diurnas e, 85% (oitenta e cinco por cento) para imagens noturnas;</w:t>
      </w:r>
    </w:p>
    <w:p w14:paraId="628484A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 Deverá possuir dispositivo para autodiagnostico, ou seja, periodicamente o sistema verificará o funcionamento dos componentes e alertará a central, de forma remota e instantânea, eventual falha em qualquer um dos módulos monitorados pelo equipamento;</w:t>
      </w:r>
    </w:p>
    <w:p w14:paraId="10E10E4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permitir a identificação inequívoca de qual é o veículo infrator quando for registrado mais de um veículo na mesma imagem;</w:t>
      </w:r>
    </w:p>
    <w:p w14:paraId="24EC671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 fiscalização, denominado avanço de semáforo, deverá utilizar tecnologia não intrusiva baseada no princípio da Tecnologia Doppler, garantindo alta precisão na medição da velocidade sem a necessidade de interferência física na via. Essa tecnologia deve proporcionar confiabilidade, resistência a interferências externas e conformidade com as normas técnicas aplicáveis, assegurando um monitoramento eficiente e seguro do tráfego.</w:t>
      </w:r>
    </w:p>
    <w:p w14:paraId="40FCF99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Endereços de implantação:</w:t>
      </w:r>
    </w:p>
    <w:p w14:paraId="44011078">
      <w:pPr>
        <w:widowControl w:val="0"/>
        <w:ind w:right="26"/>
        <w:jc w:val="both"/>
        <w:rPr>
          <w:rFonts w:ascii="Aptos" w:hAnsi="Aptos" w:eastAsia="Aptos" w:cs="Aptos"/>
          <w:sz w:val="24"/>
          <w:szCs w:val="24"/>
        </w:rPr>
      </w:pPr>
    </w:p>
    <w:tbl>
      <w:tblPr>
        <w:tblStyle w:val="141"/>
        <w:tblW w:w="9209" w:type="dxa"/>
        <w:tblInd w:w="0" w:type="dxa"/>
        <w:tblLayout w:type="fixed"/>
        <w:tblCellMar>
          <w:top w:w="0" w:type="dxa"/>
          <w:left w:w="70" w:type="dxa"/>
          <w:bottom w:w="0" w:type="dxa"/>
          <w:right w:w="70" w:type="dxa"/>
        </w:tblCellMar>
      </w:tblPr>
      <w:tblGrid>
        <w:gridCol w:w="857"/>
        <w:gridCol w:w="160"/>
        <w:gridCol w:w="5499"/>
        <w:gridCol w:w="1276"/>
        <w:gridCol w:w="1417"/>
      </w:tblGrid>
      <w:tr w14:paraId="5084EA04">
        <w:tblPrEx>
          <w:tblCellMar>
            <w:top w:w="0" w:type="dxa"/>
            <w:left w:w="70" w:type="dxa"/>
            <w:bottom w:w="0" w:type="dxa"/>
            <w:right w:w="70" w:type="dxa"/>
          </w:tblCellMar>
        </w:tblPrEx>
        <w:trPr>
          <w:trHeight w:val="433" w:hRule="atLeast"/>
        </w:trPr>
        <w:tc>
          <w:tcPr>
            <w:tcW w:w="857" w:type="dxa"/>
            <w:tcBorders>
              <w:top w:val="single" w:color="000000" w:sz="4" w:space="0"/>
              <w:left w:val="single" w:color="000000" w:sz="4" w:space="0"/>
              <w:bottom w:val="nil"/>
              <w:right w:val="nil"/>
            </w:tcBorders>
            <w:shd w:val="clear" w:color="auto" w:fill="FFFFFF"/>
            <w:vAlign w:val="center"/>
          </w:tcPr>
          <w:p w14:paraId="77E19EE9">
            <w:pPr>
              <w:spacing w:line="240" w:lineRule="auto"/>
              <w:jc w:val="center"/>
              <w:rPr>
                <w:b/>
                <w:sz w:val="16"/>
                <w:szCs w:val="16"/>
              </w:rPr>
            </w:pPr>
            <w:r>
              <w:rPr>
                <w:b/>
                <w:sz w:val="16"/>
                <w:szCs w:val="16"/>
              </w:rPr>
              <w:t>PONTO</w:t>
            </w:r>
          </w:p>
        </w:tc>
        <w:tc>
          <w:tcPr>
            <w:tcW w:w="160" w:type="dxa"/>
            <w:tcBorders>
              <w:top w:val="single" w:color="000000" w:sz="4" w:space="0"/>
              <w:left w:val="nil"/>
              <w:bottom w:val="nil"/>
              <w:right w:val="single" w:color="000000" w:sz="4" w:space="0"/>
            </w:tcBorders>
            <w:shd w:val="clear" w:color="auto" w:fill="FFFFFF"/>
            <w:vAlign w:val="center"/>
          </w:tcPr>
          <w:p w14:paraId="259A5040">
            <w:pPr>
              <w:spacing w:line="240" w:lineRule="auto"/>
              <w:jc w:val="center"/>
              <w:rPr>
                <w:b/>
                <w:color w:val="000000"/>
                <w:sz w:val="16"/>
                <w:szCs w:val="16"/>
              </w:rPr>
            </w:pPr>
          </w:p>
        </w:tc>
        <w:tc>
          <w:tcPr>
            <w:tcW w:w="5499" w:type="dxa"/>
            <w:tcBorders>
              <w:top w:val="single" w:color="000000" w:sz="4" w:space="0"/>
              <w:left w:val="nil"/>
              <w:bottom w:val="nil"/>
              <w:right w:val="single" w:color="000000" w:sz="4" w:space="0"/>
            </w:tcBorders>
            <w:shd w:val="clear" w:color="auto" w:fill="FFFFFF"/>
            <w:vAlign w:val="center"/>
          </w:tcPr>
          <w:p w14:paraId="2C05679D">
            <w:pPr>
              <w:spacing w:line="240" w:lineRule="auto"/>
              <w:ind w:firstLine="1446"/>
              <w:rPr>
                <w:b/>
                <w:sz w:val="16"/>
                <w:szCs w:val="16"/>
              </w:rPr>
            </w:pPr>
            <w:r>
              <w:rPr>
                <w:b/>
                <w:sz w:val="16"/>
                <w:szCs w:val="16"/>
              </w:rPr>
              <w:t>LOCAL DE INSTALAÇÃO</w:t>
            </w:r>
          </w:p>
        </w:tc>
        <w:tc>
          <w:tcPr>
            <w:tcW w:w="1276" w:type="dxa"/>
            <w:tcBorders>
              <w:top w:val="single" w:color="000000" w:sz="4" w:space="0"/>
              <w:left w:val="nil"/>
              <w:bottom w:val="nil"/>
              <w:right w:val="single" w:color="000000" w:sz="4" w:space="0"/>
            </w:tcBorders>
            <w:shd w:val="clear" w:color="auto" w:fill="FFFFFF"/>
            <w:vAlign w:val="center"/>
          </w:tcPr>
          <w:p w14:paraId="6664CCFF">
            <w:pPr>
              <w:spacing w:line="240" w:lineRule="auto"/>
              <w:ind w:firstLine="321"/>
              <w:rPr>
                <w:b/>
                <w:sz w:val="16"/>
                <w:szCs w:val="16"/>
              </w:rPr>
            </w:pPr>
            <w:r>
              <w:rPr>
                <w:b/>
                <w:sz w:val="16"/>
                <w:szCs w:val="16"/>
              </w:rPr>
              <w:t>TIPO</w:t>
            </w:r>
          </w:p>
        </w:tc>
        <w:tc>
          <w:tcPr>
            <w:tcW w:w="1417" w:type="dxa"/>
            <w:tcBorders>
              <w:top w:val="single" w:color="000000" w:sz="4" w:space="0"/>
              <w:left w:val="nil"/>
              <w:bottom w:val="nil"/>
              <w:right w:val="single" w:color="000000" w:sz="4" w:space="0"/>
            </w:tcBorders>
            <w:shd w:val="clear" w:color="auto" w:fill="FFFFFF"/>
            <w:vAlign w:val="center"/>
          </w:tcPr>
          <w:p w14:paraId="17BD341D">
            <w:pPr>
              <w:spacing w:line="240" w:lineRule="auto"/>
              <w:jc w:val="center"/>
              <w:rPr>
                <w:b/>
                <w:color w:val="000000"/>
                <w:sz w:val="16"/>
                <w:szCs w:val="16"/>
              </w:rPr>
            </w:pPr>
            <w:r>
              <w:rPr>
                <w:b/>
                <w:sz w:val="16"/>
                <w:szCs w:val="16"/>
              </w:rPr>
              <w:t>FAIXAS</w:t>
            </w:r>
          </w:p>
        </w:tc>
      </w:tr>
      <w:tr w14:paraId="2AE3DC2F">
        <w:tblPrEx>
          <w:tblCellMar>
            <w:top w:w="0" w:type="dxa"/>
            <w:left w:w="70" w:type="dxa"/>
            <w:bottom w:w="0" w:type="dxa"/>
            <w:right w:w="70" w:type="dxa"/>
          </w:tblCellMar>
        </w:tblPrEx>
        <w:trPr>
          <w:trHeight w:val="3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6127F1C">
            <w:pPr>
              <w:spacing w:line="240" w:lineRule="auto"/>
              <w:jc w:val="center"/>
              <w:rPr>
                <w:b/>
                <w:color w:val="000000"/>
                <w:sz w:val="18"/>
                <w:szCs w:val="18"/>
              </w:rPr>
            </w:pP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5EA31EFA">
            <w:pPr>
              <w:spacing w:line="240" w:lineRule="auto"/>
              <w:ind w:firstLine="1626"/>
              <w:rPr>
                <w:b/>
                <w:sz w:val="18"/>
                <w:szCs w:val="18"/>
              </w:rPr>
            </w:pPr>
            <w:r>
              <w:rPr>
                <w:b/>
                <w:sz w:val="18"/>
                <w:szCs w:val="18"/>
              </w:rPr>
              <w:t>AVANÇO DE SEMÁFORO</w:t>
            </w:r>
          </w:p>
        </w:tc>
        <w:tc>
          <w:tcPr>
            <w:tcW w:w="1276" w:type="dxa"/>
            <w:tcBorders>
              <w:top w:val="single" w:color="000000" w:sz="4" w:space="0"/>
              <w:left w:val="nil"/>
              <w:bottom w:val="single" w:color="000000" w:sz="4" w:space="0"/>
              <w:right w:val="single" w:color="000000" w:sz="4" w:space="0"/>
            </w:tcBorders>
            <w:shd w:val="clear" w:color="auto" w:fill="FFFFFF"/>
            <w:vAlign w:val="center"/>
          </w:tcPr>
          <w:p w14:paraId="32E83370">
            <w:pPr>
              <w:spacing w:line="240" w:lineRule="auto"/>
              <w:rPr>
                <w:b/>
                <w:color w:val="000000"/>
                <w:sz w:val="18"/>
                <w:szCs w:val="18"/>
              </w:rPr>
            </w:pP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4DC57344">
            <w:pPr>
              <w:spacing w:line="240" w:lineRule="auto"/>
              <w:jc w:val="center"/>
              <w:rPr>
                <w:b/>
                <w:color w:val="000000"/>
                <w:sz w:val="16"/>
                <w:szCs w:val="16"/>
              </w:rPr>
            </w:pPr>
            <w:r>
              <w:rPr>
                <w:b/>
                <w:color w:val="000000"/>
                <w:sz w:val="18"/>
                <w:szCs w:val="18"/>
              </w:rPr>
              <w:t>92</w:t>
            </w:r>
          </w:p>
        </w:tc>
      </w:tr>
      <w:tr w14:paraId="43CF7B92">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282C0CF">
            <w:pPr>
              <w:spacing w:line="240" w:lineRule="auto"/>
              <w:jc w:val="center"/>
              <w:rPr>
                <w:b/>
                <w:color w:val="000000"/>
                <w:sz w:val="16"/>
                <w:szCs w:val="16"/>
              </w:rPr>
            </w:pPr>
            <w:r>
              <w:rPr>
                <w:bCs/>
                <w:color w:val="000000"/>
                <w:sz w:val="16"/>
                <w:szCs w:val="16"/>
              </w:rPr>
              <w:t>1</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6D2B6E7B">
            <w:pPr>
              <w:spacing w:line="240" w:lineRule="auto"/>
              <w:rPr>
                <w:b/>
                <w:color w:val="000000"/>
                <w:sz w:val="16"/>
                <w:szCs w:val="16"/>
              </w:rPr>
            </w:pPr>
            <w:r>
              <w:rPr>
                <w:bCs/>
                <w:sz w:val="16"/>
                <w:szCs w:val="16"/>
              </w:rPr>
              <w:t>RUA FERNANDO CORRÊA DA COSTA, CRUZAMENTO COM A</w:t>
            </w:r>
            <w:r>
              <w:rPr>
                <w:bCs/>
                <w:sz w:val="16"/>
                <w:szCs w:val="16"/>
              </w:rPr>
              <w:br w:type="textWrapping"/>
            </w:r>
            <w:r>
              <w:rPr>
                <w:bCs/>
                <w:sz w:val="16"/>
                <w:szCs w:val="16"/>
              </w:rPr>
              <w:t>AV. MARECHAL RONDON - CENTRO [Sentido: Centro/Bairro]</w:t>
            </w:r>
          </w:p>
        </w:tc>
        <w:tc>
          <w:tcPr>
            <w:tcW w:w="1276" w:type="dxa"/>
            <w:tcBorders>
              <w:top w:val="nil"/>
              <w:left w:val="nil"/>
              <w:bottom w:val="single" w:color="000000" w:sz="4" w:space="0"/>
              <w:right w:val="single" w:color="000000" w:sz="4" w:space="0"/>
            </w:tcBorders>
            <w:shd w:val="clear" w:color="auto" w:fill="FFFFFF"/>
            <w:vAlign w:val="center"/>
          </w:tcPr>
          <w:p w14:paraId="363A681C">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79B8DBA6">
            <w:pPr>
              <w:spacing w:line="240" w:lineRule="auto"/>
              <w:jc w:val="center"/>
              <w:rPr>
                <w:b/>
                <w:color w:val="000000"/>
                <w:sz w:val="16"/>
                <w:szCs w:val="16"/>
              </w:rPr>
            </w:pPr>
            <w:r>
              <w:rPr>
                <w:bCs/>
                <w:color w:val="000000"/>
                <w:sz w:val="16"/>
                <w:szCs w:val="16"/>
              </w:rPr>
              <w:t>2</w:t>
            </w:r>
          </w:p>
        </w:tc>
      </w:tr>
      <w:tr w14:paraId="4EF5BC4B">
        <w:tblPrEx>
          <w:tblCellMar>
            <w:top w:w="0" w:type="dxa"/>
            <w:left w:w="70" w:type="dxa"/>
            <w:bottom w:w="0" w:type="dxa"/>
            <w:right w:w="70" w:type="dxa"/>
          </w:tblCellMar>
        </w:tblPrEx>
        <w:trPr>
          <w:trHeight w:val="822"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9C46B15">
            <w:pPr>
              <w:spacing w:line="240" w:lineRule="auto"/>
              <w:jc w:val="center"/>
              <w:rPr>
                <w:b/>
                <w:color w:val="000000"/>
                <w:sz w:val="16"/>
                <w:szCs w:val="16"/>
              </w:rPr>
            </w:pPr>
            <w:r>
              <w:rPr>
                <w:bCs/>
                <w:color w:val="000000"/>
                <w:sz w:val="16"/>
                <w:szCs w:val="16"/>
              </w:rPr>
              <w:t>2</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F4CAC57">
            <w:pPr>
              <w:spacing w:line="240" w:lineRule="auto"/>
              <w:rPr>
                <w:b/>
                <w:color w:val="000000"/>
                <w:sz w:val="16"/>
                <w:szCs w:val="16"/>
              </w:rPr>
            </w:pPr>
            <w:r>
              <w:rPr>
                <w:bCs/>
                <w:sz w:val="16"/>
                <w:szCs w:val="16"/>
              </w:rPr>
              <w:t>AV. MARECHAL RONDON, CRUZAMENTO COM A RUA FERNANDO CORRÊA DA COSTA - CENTRO [Sentido:</w:t>
            </w:r>
            <w:r>
              <w:rPr>
                <w:bCs/>
                <w:sz w:val="16"/>
                <w:szCs w:val="16"/>
              </w:rPr>
              <w:br w:type="textWrapping"/>
            </w:r>
            <w:r>
              <w:rPr>
                <w:bCs/>
                <w:sz w:val="16"/>
                <w:szCs w:val="16"/>
              </w:rPr>
              <w:t>Centro/Bairro]</w:t>
            </w:r>
          </w:p>
        </w:tc>
        <w:tc>
          <w:tcPr>
            <w:tcW w:w="1276" w:type="dxa"/>
            <w:tcBorders>
              <w:top w:val="nil"/>
              <w:left w:val="nil"/>
              <w:bottom w:val="single" w:color="000000" w:sz="4" w:space="0"/>
              <w:right w:val="single" w:color="000000" w:sz="4" w:space="0"/>
            </w:tcBorders>
            <w:shd w:val="clear" w:color="auto" w:fill="FFFFFF"/>
            <w:vAlign w:val="center"/>
          </w:tcPr>
          <w:p w14:paraId="4B7C69C9">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7EF3183C">
            <w:pPr>
              <w:spacing w:line="240" w:lineRule="auto"/>
              <w:jc w:val="center"/>
              <w:rPr>
                <w:b/>
                <w:color w:val="000000"/>
                <w:sz w:val="16"/>
                <w:szCs w:val="16"/>
              </w:rPr>
            </w:pPr>
            <w:r>
              <w:rPr>
                <w:bCs/>
                <w:color w:val="000000"/>
                <w:sz w:val="16"/>
                <w:szCs w:val="16"/>
              </w:rPr>
              <w:t>2</w:t>
            </w:r>
          </w:p>
        </w:tc>
      </w:tr>
      <w:tr w14:paraId="64AC3E83">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44564E2">
            <w:pPr>
              <w:spacing w:line="240" w:lineRule="auto"/>
              <w:jc w:val="center"/>
              <w:rPr>
                <w:b/>
                <w:color w:val="000000"/>
                <w:sz w:val="16"/>
                <w:szCs w:val="16"/>
              </w:rPr>
            </w:pPr>
            <w:r>
              <w:rPr>
                <w:bCs/>
                <w:color w:val="000000"/>
                <w:sz w:val="16"/>
                <w:szCs w:val="16"/>
              </w:rPr>
              <w:t>3</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353C1190">
            <w:pPr>
              <w:spacing w:line="240" w:lineRule="auto"/>
              <w:rPr>
                <w:b/>
                <w:color w:val="000000"/>
                <w:sz w:val="16"/>
                <w:szCs w:val="16"/>
              </w:rPr>
            </w:pPr>
            <w:r>
              <w:rPr>
                <w:bCs/>
                <w:sz w:val="16"/>
                <w:szCs w:val="16"/>
              </w:rPr>
              <w:t>RUA DOM PEDRO II, CRUZAMENTO COM A AV.</w:t>
            </w:r>
            <w:r>
              <w:rPr>
                <w:bCs/>
                <w:sz w:val="16"/>
                <w:szCs w:val="16"/>
              </w:rPr>
              <w:br w:type="textWrapping"/>
            </w:r>
            <w:r>
              <w:rPr>
                <w:bCs/>
                <w:sz w:val="16"/>
                <w:szCs w:val="16"/>
              </w:rPr>
              <w:t>BANDEIRANTES - CENTRO [Sentido: Centro/Bairro]</w:t>
            </w:r>
          </w:p>
        </w:tc>
        <w:tc>
          <w:tcPr>
            <w:tcW w:w="1276" w:type="dxa"/>
            <w:tcBorders>
              <w:top w:val="nil"/>
              <w:left w:val="nil"/>
              <w:bottom w:val="single" w:color="000000" w:sz="4" w:space="0"/>
              <w:right w:val="single" w:color="000000" w:sz="4" w:space="0"/>
            </w:tcBorders>
            <w:shd w:val="clear" w:color="auto" w:fill="FFFFFF"/>
            <w:vAlign w:val="center"/>
          </w:tcPr>
          <w:p w14:paraId="5C7A8486">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633ADFE5">
            <w:pPr>
              <w:spacing w:line="240" w:lineRule="auto"/>
              <w:jc w:val="center"/>
              <w:rPr>
                <w:b/>
                <w:color w:val="000000"/>
                <w:sz w:val="16"/>
                <w:szCs w:val="16"/>
              </w:rPr>
            </w:pPr>
            <w:r>
              <w:rPr>
                <w:bCs/>
                <w:color w:val="000000"/>
                <w:sz w:val="16"/>
                <w:szCs w:val="16"/>
              </w:rPr>
              <w:t>2</w:t>
            </w:r>
          </w:p>
        </w:tc>
      </w:tr>
      <w:tr w14:paraId="0BE1F1E8">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auto" w:sz="4" w:space="0"/>
              <w:right w:val="single" w:color="000000" w:sz="4" w:space="0"/>
            </w:tcBorders>
            <w:shd w:val="clear" w:color="auto" w:fill="FFFFFF"/>
            <w:vAlign w:val="center"/>
          </w:tcPr>
          <w:p w14:paraId="3EE71E20">
            <w:pPr>
              <w:spacing w:line="240" w:lineRule="auto"/>
              <w:jc w:val="center"/>
              <w:rPr>
                <w:b/>
                <w:color w:val="000000"/>
                <w:sz w:val="16"/>
                <w:szCs w:val="16"/>
              </w:rPr>
            </w:pPr>
            <w:r>
              <w:rPr>
                <w:bCs/>
                <w:color w:val="000000"/>
                <w:sz w:val="16"/>
                <w:szCs w:val="16"/>
              </w:rPr>
              <w:t>4</w:t>
            </w:r>
          </w:p>
        </w:tc>
        <w:tc>
          <w:tcPr>
            <w:tcW w:w="5499" w:type="dxa"/>
            <w:tcBorders>
              <w:top w:val="single" w:color="000000" w:sz="4" w:space="0"/>
              <w:left w:val="nil"/>
              <w:bottom w:val="single" w:color="auto" w:sz="4" w:space="0"/>
              <w:right w:val="single" w:color="000000" w:sz="4" w:space="0"/>
            </w:tcBorders>
            <w:shd w:val="clear" w:color="auto" w:fill="FFFFFF"/>
            <w:vAlign w:val="center"/>
          </w:tcPr>
          <w:p w14:paraId="437B991A">
            <w:pPr>
              <w:spacing w:line="240" w:lineRule="auto"/>
              <w:rPr>
                <w:b/>
                <w:color w:val="000000"/>
                <w:sz w:val="16"/>
                <w:szCs w:val="16"/>
              </w:rPr>
            </w:pPr>
            <w:r>
              <w:rPr>
                <w:bCs/>
                <w:sz w:val="16"/>
                <w:szCs w:val="16"/>
              </w:rPr>
              <w:t>AV. BANDEIRANTES, CRUZAMENTO COM A RUA DOM</w:t>
            </w:r>
            <w:r>
              <w:rPr>
                <w:bCs/>
                <w:sz w:val="16"/>
                <w:szCs w:val="16"/>
              </w:rPr>
              <w:br w:type="textWrapping"/>
            </w:r>
            <w:r>
              <w:rPr>
                <w:bCs/>
                <w:sz w:val="16"/>
                <w:szCs w:val="16"/>
              </w:rPr>
              <w:t>PEDRO II - CENTRO [Sentido: Centro/Bairro]</w:t>
            </w:r>
          </w:p>
        </w:tc>
        <w:tc>
          <w:tcPr>
            <w:tcW w:w="1276" w:type="dxa"/>
            <w:tcBorders>
              <w:top w:val="nil"/>
              <w:left w:val="nil"/>
              <w:bottom w:val="single" w:color="auto" w:sz="4" w:space="0"/>
              <w:right w:val="single" w:color="000000" w:sz="4" w:space="0"/>
            </w:tcBorders>
            <w:shd w:val="clear" w:color="auto" w:fill="FFFFFF"/>
            <w:vAlign w:val="center"/>
          </w:tcPr>
          <w:p w14:paraId="77AD4E5D">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auto" w:sz="4" w:space="0"/>
              <w:right w:val="single" w:color="000000" w:sz="4" w:space="0"/>
            </w:tcBorders>
            <w:shd w:val="clear" w:color="auto" w:fill="FFFFFF"/>
            <w:vAlign w:val="center"/>
          </w:tcPr>
          <w:p w14:paraId="4EA43068">
            <w:pPr>
              <w:spacing w:line="240" w:lineRule="auto"/>
              <w:jc w:val="center"/>
              <w:rPr>
                <w:b/>
                <w:color w:val="000000"/>
                <w:sz w:val="16"/>
                <w:szCs w:val="16"/>
              </w:rPr>
            </w:pPr>
            <w:r>
              <w:rPr>
                <w:bCs/>
                <w:color w:val="000000"/>
                <w:sz w:val="16"/>
                <w:szCs w:val="16"/>
              </w:rPr>
              <w:t>2</w:t>
            </w:r>
          </w:p>
        </w:tc>
      </w:tr>
      <w:tr w14:paraId="0A83CE37">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760A08E0">
            <w:pPr>
              <w:spacing w:line="240" w:lineRule="auto"/>
              <w:jc w:val="center"/>
              <w:rPr>
                <w:b/>
                <w:color w:val="000000"/>
                <w:sz w:val="16"/>
                <w:szCs w:val="16"/>
              </w:rPr>
            </w:pPr>
            <w:r>
              <w:rPr>
                <w:bCs/>
                <w:color w:val="000000"/>
                <w:sz w:val="16"/>
                <w:szCs w:val="16"/>
              </w:rPr>
              <w:t>5</w:t>
            </w:r>
          </w:p>
        </w:tc>
        <w:tc>
          <w:tcPr>
            <w:tcW w:w="5499" w:type="dxa"/>
            <w:tcBorders>
              <w:top w:val="single" w:color="auto" w:sz="4" w:space="0"/>
              <w:left w:val="single" w:color="auto" w:sz="4" w:space="0"/>
              <w:bottom w:val="single" w:color="auto" w:sz="4" w:space="0"/>
              <w:right w:val="single" w:color="auto" w:sz="4" w:space="0"/>
            </w:tcBorders>
            <w:shd w:val="clear" w:color="auto" w:fill="FFFFFF"/>
            <w:vAlign w:val="center"/>
          </w:tcPr>
          <w:p w14:paraId="7A037108">
            <w:pPr>
              <w:spacing w:line="240" w:lineRule="auto"/>
              <w:rPr>
                <w:b/>
                <w:color w:val="000000"/>
                <w:sz w:val="16"/>
                <w:szCs w:val="16"/>
              </w:rPr>
            </w:pPr>
            <w:r>
              <w:rPr>
                <w:bCs/>
                <w:sz w:val="16"/>
                <w:szCs w:val="16"/>
              </w:rPr>
              <w:t>RUA DOM PEDRO II CRUZAMENTO COM AV. DOM</w:t>
            </w:r>
            <w:r>
              <w:rPr>
                <w:bCs/>
                <w:sz w:val="16"/>
                <w:szCs w:val="16"/>
              </w:rPr>
              <w:br w:type="textWrapping"/>
            </w:r>
            <w:r>
              <w:rPr>
                <w:bCs/>
                <w:sz w:val="16"/>
                <w:szCs w:val="16"/>
              </w:rPr>
              <w:t>WUNIBALDO - CENTRO [Sentido: Bairro/Centro]</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14:paraId="71144341">
            <w:pPr>
              <w:spacing w:line="240" w:lineRule="auto"/>
              <w:jc w:val="center"/>
              <w:rPr>
                <w:b/>
                <w:sz w:val="16"/>
                <w:szCs w:val="16"/>
              </w:rPr>
            </w:pPr>
            <w:r>
              <w:rPr>
                <w:bCs/>
                <w:sz w:val="16"/>
                <w:szCs w:val="16"/>
              </w:rPr>
              <w:t>AVANÇO DE SEMÁFORO</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14:paraId="3164FE7D">
            <w:pPr>
              <w:spacing w:line="240" w:lineRule="auto"/>
              <w:jc w:val="center"/>
              <w:rPr>
                <w:b/>
                <w:color w:val="000000"/>
                <w:sz w:val="16"/>
                <w:szCs w:val="16"/>
              </w:rPr>
            </w:pPr>
            <w:r>
              <w:rPr>
                <w:bCs/>
                <w:color w:val="000000"/>
                <w:sz w:val="16"/>
                <w:szCs w:val="16"/>
              </w:rPr>
              <w:t>2</w:t>
            </w:r>
          </w:p>
        </w:tc>
      </w:tr>
      <w:tr w14:paraId="6CB5DF6C">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7D8ACE6C">
            <w:pPr>
              <w:spacing w:line="240" w:lineRule="auto"/>
              <w:jc w:val="center"/>
              <w:rPr>
                <w:b/>
                <w:color w:val="000000"/>
                <w:sz w:val="16"/>
                <w:szCs w:val="16"/>
              </w:rPr>
            </w:pPr>
            <w:r>
              <w:rPr>
                <w:bCs/>
                <w:color w:val="000000"/>
                <w:sz w:val="16"/>
                <w:szCs w:val="16"/>
              </w:rPr>
              <w:t>6</w:t>
            </w:r>
          </w:p>
        </w:tc>
        <w:tc>
          <w:tcPr>
            <w:tcW w:w="5499" w:type="dxa"/>
            <w:tcBorders>
              <w:top w:val="single" w:color="auto" w:sz="4" w:space="0"/>
              <w:left w:val="nil"/>
              <w:bottom w:val="single" w:color="000000" w:sz="4" w:space="0"/>
              <w:right w:val="single" w:color="000000" w:sz="4" w:space="0"/>
            </w:tcBorders>
            <w:shd w:val="clear" w:color="auto" w:fill="FFFFFF"/>
            <w:vAlign w:val="center"/>
          </w:tcPr>
          <w:p w14:paraId="511DF926">
            <w:pPr>
              <w:spacing w:line="240" w:lineRule="auto"/>
              <w:rPr>
                <w:b/>
                <w:color w:val="000000"/>
                <w:sz w:val="16"/>
                <w:szCs w:val="16"/>
              </w:rPr>
            </w:pPr>
            <w:r>
              <w:rPr>
                <w:bCs/>
                <w:sz w:val="16"/>
                <w:szCs w:val="16"/>
              </w:rPr>
              <w:t>AV. DOM WUNIBALDO, CRUZAMENTO COM A RUA DOM</w:t>
            </w:r>
            <w:r>
              <w:rPr>
                <w:bCs/>
                <w:sz w:val="16"/>
                <w:szCs w:val="16"/>
              </w:rPr>
              <w:br w:type="textWrapping"/>
            </w:r>
            <w:r>
              <w:rPr>
                <w:bCs/>
                <w:sz w:val="16"/>
                <w:szCs w:val="16"/>
              </w:rPr>
              <w:t>PEDRO II - CENTRO [Sentido: Centro/Bairro]</w:t>
            </w:r>
          </w:p>
        </w:tc>
        <w:tc>
          <w:tcPr>
            <w:tcW w:w="1276" w:type="dxa"/>
            <w:tcBorders>
              <w:top w:val="single" w:color="auto" w:sz="4" w:space="0"/>
              <w:left w:val="nil"/>
              <w:bottom w:val="single" w:color="000000" w:sz="4" w:space="0"/>
              <w:right w:val="single" w:color="000000" w:sz="4" w:space="0"/>
            </w:tcBorders>
            <w:shd w:val="clear" w:color="auto" w:fill="FFFFFF"/>
            <w:vAlign w:val="center"/>
          </w:tcPr>
          <w:p w14:paraId="05EC00A6">
            <w:pPr>
              <w:spacing w:line="240" w:lineRule="auto"/>
              <w:jc w:val="center"/>
              <w:rPr>
                <w:b/>
                <w:sz w:val="16"/>
                <w:szCs w:val="16"/>
              </w:rPr>
            </w:pPr>
            <w:r>
              <w:rPr>
                <w:bCs/>
                <w:sz w:val="16"/>
                <w:szCs w:val="16"/>
              </w:rPr>
              <w:t>AVANÇO DE SEMÁFORO</w:t>
            </w:r>
          </w:p>
        </w:tc>
        <w:tc>
          <w:tcPr>
            <w:tcW w:w="1417" w:type="dxa"/>
            <w:tcBorders>
              <w:top w:val="single" w:color="auto" w:sz="4" w:space="0"/>
              <w:left w:val="nil"/>
              <w:bottom w:val="single" w:color="000000" w:sz="4" w:space="0"/>
              <w:right w:val="single" w:color="000000" w:sz="4" w:space="0"/>
            </w:tcBorders>
            <w:shd w:val="clear" w:color="auto" w:fill="FFFFFF"/>
            <w:vAlign w:val="center"/>
          </w:tcPr>
          <w:p w14:paraId="49E18B9D">
            <w:pPr>
              <w:spacing w:line="240" w:lineRule="auto"/>
              <w:jc w:val="center"/>
              <w:rPr>
                <w:b/>
                <w:color w:val="000000"/>
                <w:sz w:val="16"/>
                <w:szCs w:val="16"/>
              </w:rPr>
            </w:pPr>
            <w:r>
              <w:rPr>
                <w:bCs/>
                <w:color w:val="000000"/>
                <w:sz w:val="16"/>
                <w:szCs w:val="16"/>
              </w:rPr>
              <w:t>2</w:t>
            </w:r>
          </w:p>
        </w:tc>
      </w:tr>
      <w:tr w14:paraId="69FF2604">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84926D3">
            <w:pPr>
              <w:spacing w:line="240" w:lineRule="auto"/>
              <w:jc w:val="center"/>
              <w:rPr>
                <w:b/>
                <w:color w:val="000000"/>
                <w:sz w:val="16"/>
                <w:szCs w:val="16"/>
              </w:rPr>
            </w:pPr>
            <w:r>
              <w:rPr>
                <w:bCs/>
                <w:color w:val="000000"/>
                <w:sz w:val="16"/>
                <w:szCs w:val="16"/>
              </w:rPr>
              <w:t>7</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9633868">
            <w:pPr>
              <w:spacing w:line="240" w:lineRule="auto"/>
              <w:rPr>
                <w:b/>
                <w:sz w:val="16"/>
                <w:szCs w:val="16"/>
              </w:rPr>
            </w:pPr>
            <w:r>
              <w:rPr>
                <w:bCs/>
                <w:sz w:val="16"/>
                <w:szCs w:val="16"/>
              </w:rPr>
              <w:t>RUA BARÃO DO RIO BRANCO, CRUZAMENTO COM A AV. FREI SERVÁCIO - BAIRRO SANTA CRUZ [Bairro/Centro]</w:t>
            </w:r>
          </w:p>
        </w:tc>
        <w:tc>
          <w:tcPr>
            <w:tcW w:w="1276" w:type="dxa"/>
            <w:tcBorders>
              <w:top w:val="nil"/>
              <w:left w:val="nil"/>
              <w:bottom w:val="single" w:color="000000" w:sz="4" w:space="0"/>
              <w:right w:val="single" w:color="000000" w:sz="4" w:space="0"/>
            </w:tcBorders>
            <w:shd w:val="clear" w:color="auto" w:fill="FFFFFF"/>
            <w:vAlign w:val="center"/>
          </w:tcPr>
          <w:p w14:paraId="7E77B9C1">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521E285C">
            <w:pPr>
              <w:spacing w:line="240" w:lineRule="auto"/>
              <w:jc w:val="center"/>
              <w:rPr>
                <w:b/>
                <w:color w:val="000000"/>
                <w:sz w:val="16"/>
                <w:szCs w:val="16"/>
              </w:rPr>
            </w:pPr>
            <w:r>
              <w:rPr>
                <w:bCs/>
                <w:color w:val="000000"/>
                <w:sz w:val="16"/>
                <w:szCs w:val="16"/>
              </w:rPr>
              <w:t>2</w:t>
            </w:r>
          </w:p>
        </w:tc>
      </w:tr>
      <w:tr w14:paraId="6F365478">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C624410">
            <w:pPr>
              <w:spacing w:line="240" w:lineRule="auto"/>
              <w:jc w:val="center"/>
              <w:rPr>
                <w:b/>
                <w:color w:val="000000"/>
                <w:sz w:val="16"/>
                <w:szCs w:val="16"/>
              </w:rPr>
            </w:pPr>
            <w:r>
              <w:rPr>
                <w:bCs/>
                <w:color w:val="000000"/>
                <w:sz w:val="16"/>
                <w:szCs w:val="16"/>
              </w:rPr>
              <w:t>8</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60DA0722">
            <w:pPr>
              <w:spacing w:line="240" w:lineRule="auto"/>
              <w:rPr>
                <w:b/>
                <w:sz w:val="16"/>
                <w:szCs w:val="16"/>
              </w:rPr>
            </w:pPr>
            <w:r>
              <w:rPr>
                <w:bCs/>
                <w:sz w:val="16"/>
                <w:szCs w:val="16"/>
              </w:rPr>
              <w:t>AV. FREI SERVÁCIO, CRUZAMENTO COM A RUA BARÃO DO RIO BRANCO - BAIRRO SANTA CRUZ [Centro/Bairro]</w:t>
            </w:r>
          </w:p>
        </w:tc>
        <w:tc>
          <w:tcPr>
            <w:tcW w:w="1276" w:type="dxa"/>
            <w:tcBorders>
              <w:top w:val="nil"/>
              <w:left w:val="nil"/>
              <w:bottom w:val="single" w:color="000000" w:sz="4" w:space="0"/>
              <w:right w:val="single" w:color="000000" w:sz="4" w:space="0"/>
            </w:tcBorders>
            <w:shd w:val="clear" w:color="auto" w:fill="FFFFFF"/>
            <w:vAlign w:val="center"/>
          </w:tcPr>
          <w:p w14:paraId="27507DCB">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55F69170">
            <w:pPr>
              <w:spacing w:line="240" w:lineRule="auto"/>
              <w:jc w:val="center"/>
              <w:rPr>
                <w:b/>
                <w:color w:val="000000"/>
                <w:sz w:val="16"/>
                <w:szCs w:val="16"/>
              </w:rPr>
            </w:pPr>
            <w:r>
              <w:rPr>
                <w:bCs/>
                <w:color w:val="000000"/>
                <w:sz w:val="16"/>
                <w:szCs w:val="16"/>
              </w:rPr>
              <w:t>2</w:t>
            </w:r>
          </w:p>
        </w:tc>
      </w:tr>
      <w:tr w14:paraId="3429F8D0">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auto" w:sz="4" w:space="0"/>
              <w:right w:val="single" w:color="000000" w:sz="4" w:space="0"/>
            </w:tcBorders>
            <w:shd w:val="clear" w:color="auto" w:fill="FFFFFF"/>
            <w:vAlign w:val="center"/>
          </w:tcPr>
          <w:p w14:paraId="1253772F">
            <w:pPr>
              <w:spacing w:line="240" w:lineRule="auto"/>
              <w:jc w:val="center"/>
              <w:rPr>
                <w:b/>
                <w:color w:val="000000"/>
                <w:sz w:val="16"/>
                <w:szCs w:val="16"/>
              </w:rPr>
            </w:pPr>
            <w:r>
              <w:rPr>
                <w:bCs/>
                <w:color w:val="000000"/>
                <w:sz w:val="16"/>
                <w:szCs w:val="16"/>
              </w:rPr>
              <w:t>9</w:t>
            </w:r>
          </w:p>
        </w:tc>
        <w:tc>
          <w:tcPr>
            <w:tcW w:w="5499" w:type="dxa"/>
            <w:tcBorders>
              <w:top w:val="single" w:color="000000" w:sz="4" w:space="0"/>
              <w:left w:val="nil"/>
              <w:bottom w:val="single" w:color="auto" w:sz="4" w:space="0"/>
              <w:right w:val="single" w:color="000000" w:sz="4" w:space="0"/>
            </w:tcBorders>
            <w:shd w:val="clear" w:color="auto" w:fill="FFFFFF"/>
            <w:vAlign w:val="center"/>
          </w:tcPr>
          <w:p w14:paraId="270FF5A8">
            <w:pPr>
              <w:spacing w:line="240" w:lineRule="auto"/>
              <w:rPr>
                <w:b/>
                <w:color w:val="000000"/>
                <w:sz w:val="16"/>
                <w:szCs w:val="16"/>
              </w:rPr>
            </w:pPr>
            <w:r>
              <w:rPr>
                <w:bCs/>
                <w:sz w:val="16"/>
                <w:szCs w:val="16"/>
              </w:rPr>
              <w:t>AV. JOÃO PONCE DE ARRUDA CRUZAMENTO COM A RUA</w:t>
            </w:r>
            <w:r>
              <w:rPr>
                <w:bCs/>
                <w:sz w:val="16"/>
                <w:szCs w:val="16"/>
              </w:rPr>
              <w:br w:type="textWrapping"/>
            </w:r>
            <w:r>
              <w:rPr>
                <w:bCs/>
                <w:sz w:val="16"/>
                <w:szCs w:val="16"/>
              </w:rPr>
              <w:t>DOM PEDRO II [Centro/Bairro]</w:t>
            </w:r>
          </w:p>
        </w:tc>
        <w:tc>
          <w:tcPr>
            <w:tcW w:w="1276" w:type="dxa"/>
            <w:tcBorders>
              <w:top w:val="nil"/>
              <w:left w:val="nil"/>
              <w:bottom w:val="single" w:color="auto" w:sz="4" w:space="0"/>
              <w:right w:val="single" w:color="000000" w:sz="4" w:space="0"/>
            </w:tcBorders>
            <w:shd w:val="clear" w:color="auto" w:fill="FFFFFF"/>
            <w:vAlign w:val="center"/>
          </w:tcPr>
          <w:p w14:paraId="2A4FEE9F">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auto" w:sz="4" w:space="0"/>
              <w:right w:val="single" w:color="000000" w:sz="4" w:space="0"/>
            </w:tcBorders>
            <w:shd w:val="clear" w:color="auto" w:fill="FFFFFF"/>
            <w:vAlign w:val="center"/>
          </w:tcPr>
          <w:p w14:paraId="57821344">
            <w:pPr>
              <w:spacing w:line="240" w:lineRule="auto"/>
              <w:jc w:val="center"/>
              <w:rPr>
                <w:b/>
                <w:color w:val="000000"/>
                <w:sz w:val="16"/>
                <w:szCs w:val="16"/>
              </w:rPr>
            </w:pPr>
            <w:r>
              <w:rPr>
                <w:bCs/>
                <w:color w:val="000000"/>
                <w:sz w:val="16"/>
                <w:szCs w:val="16"/>
              </w:rPr>
              <w:t>2</w:t>
            </w:r>
          </w:p>
        </w:tc>
      </w:tr>
      <w:tr w14:paraId="5BCEE08F">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493B06A0">
            <w:pPr>
              <w:spacing w:line="240" w:lineRule="auto"/>
              <w:jc w:val="center"/>
              <w:rPr>
                <w:b/>
                <w:color w:val="000000"/>
                <w:sz w:val="16"/>
                <w:szCs w:val="16"/>
              </w:rPr>
            </w:pPr>
            <w:r>
              <w:rPr>
                <w:bCs/>
                <w:color w:val="000000"/>
                <w:sz w:val="16"/>
                <w:szCs w:val="16"/>
              </w:rPr>
              <w:t>10</w:t>
            </w:r>
          </w:p>
        </w:tc>
        <w:tc>
          <w:tcPr>
            <w:tcW w:w="5499" w:type="dxa"/>
            <w:tcBorders>
              <w:top w:val="single" w:color="auto" w:sz="4" w:space="0"/>
              <w:left w:val="single" w:color="auto" w:sz="4" w:space="0"/>
              <w:bottom w:val="single" w:color="auto" w:sz="4" w:space="0"/>
              <w:right w:val="single" w:color="auto" w:sz="4" w:space="0"/>
            </w:tcBorders>
            <w:shd w:val="clear" w:color="auto" w:fill="FFFFFF"/>
            <w:vAlign w:val="center"/>
          </w:tcPr>
          <w:p w14:paraId="7879F167">
            <w:pPr>
              <w:spacing w:line="240" w:lineRule="auto"/>
              <w:rPr>
                <w:b/>
                <w:color w:val="000000"/>
                <w:sz w:val="16"/>
                <w:szCs w:val="16"/>
              </w:rPr>
            </w:pPr>
            <w:r>
              <w:rPr>
                <w:bCs/>
                <w:sz w:val="16"/>
                <w:szCs w:val="16"/>
              </w:rPr>
              <w:t>RUA DOM PEDRO II, CRUZAMENTO COM A AV. JOAO</w:t>
            </w:r>
            <w:r>
              <w:rPr>
                <w:bCs/>
                <w:sz w:val="16"/>
                <w:szCs w:val="16"/>
              </w:rPr>
              <w:br w:type="textWrapping"/>
            </w:r>
            <w:r>
              <w:rPr>
                <w:bCs/>
                <w:sz w:val="16"/>
                <w:szCs w:val="16"/>
              </w:rPr>
              <w:t>PONCE DE ARRUDA [Centro/Bairro]</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14:paraId="792EEEFB">
            <w:pPr>
              <w:spacing w:line="240" w:lineRule="auto"/>
              <w:jc w:val="center"/>
              <w:rPr>
                <w:b/>
                <w:sz w:val="16"/>
                <w:szCs w:val="16"/>
              </w:rPr>
            </w:pPr>
            <w:r>
              <w:rPr>
                <w:bCs/>
                <w:sz w:val="16"/>
                <w:szCs w:val="16"/>
              </w:rPr>
              <w:t>AVANÇO DE SEMÁFORO</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14:paraId="1893090C">
            <w:pPr>
              <w:spacing w:line="240" w:lineRule="auto"/>
              <w:jc w:val="center"/>
              <w:rPr>
                <w:b/>
                <w:color w:val="000000"/>
                <w:sz w:val="16"/>
                <w:szCs w:val="16"/>
              </w:rPr>
            </w:pPr>
            <w:r>
              <w:rPr>
                <w:bCs/>
                <w:color w:val="000000"/>
                <w:sz w:val="16"/>
                <w:szCs w:val="16"/>
              </w:rPr>
              <w:t>2</w:t>
            </w:r>
          </w:p>
        </w:tc>
      </w:tr>
      <w:tr w14:paraId="779BCA3E">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2A89A791">
            <w:pPr>
              <w:spacing w:line="240" w:lineRule="auto"/>
              <w:jc w:val="center"/>
              <w:rPr>
                <w:b/>
                <w:color w:val="000000"/>
                <w:sz w:val="16"/>
                <w:szCs w:val="16"/>
              </w:rPr>
            </w:pPr>
            <w:r>
              <w:rPr>
                <w:bCs/>
                <w:color w:val="000000"/>
                <w:sz w:val="16"/>
                <w:szCs w:val="16"/>
              </w:rPr>
              <w:t>11</w:t>
            </w:r>
          </w:p>
        </w:tc>
        <w:tc>
          <w:tcPr>
            <w:tcW w:w="5499" w:type="dxa"/>
            <w:tcBorders>
              <w:top w:val="single" w:color="auto" w:sz="4" w:space="0"/>
              <w:left w:val="nil"/>
              <w:bottom w:val="single" w:color="000000" w:sz="4" w:space="0"/>
              <w:right w:val="single" w:color="000000" w:sz="4" w:space="0"/>
            </w:tcBorders>
            <w:shd w:val="clear" w:color="auto" w:fill="FFFFFF"/>
            <w:vAlign w:val="center"/>
          </w:tcPr>
          <w:p w14:paraId="7DEE2270">
            <w:pPr>
              <w:spacing w:line="240" w:lineRule="auto"/>
              <w:rPr>
                <w:b/>
                <w:color w:val="000000"/>
                <w:sz w:val="16"/>
                <w:szCs w:val="16"/>
              </w:rPr>
            </w:pPr>
            <w:r>
              <w:rPr>
                <w:bCs/>
                <w:sz w:val="16"/>
                <w:szCs w:val="16"/>
              </w:rPr>
              <w:t>AV. TIRADENTES, CRUZAMENTO COM A RUA DOM PEDRO II</w:t>
            </w:r>
            <w:r>
              <w:rPr>
                <w:bCs/>
                <w:sz w:val="16"/>
                <w:szCs w:val="16"/>
              </w:rPr>
              <w:br w:type="textWrapping"/>
            </w:r>
            <w:r>
              <w:rPr>
                <w:bCs/>
                <w:sz w:val="16"/>
                <w:szCs w:val="16"/>
              </w:rPr>
              <w:t>[Centro/Bairro]</w:t>
            </w:r>
          </w:p>
        </w:tc>
        <w:tc>
          <w:tcPr>
            <w:tcW w:w="1276" w:type="dxa"/>
            <w:tcBorders>
              <w:top w:val="single" w:color="auto" w:sz="4" w:space="0"/>
              <w:left w:val="nil"/>
              <w:bottom w:val="single" w:color="000000" w:sz="4" w:space="0"/>
              <w:right w:val="single" w:color="000000" w:sz="4" w:space="0"/>
            </w:tcBorders>
            <w:shd w:val="clear" w:color="auto" w:fill="FFFFFF"/>
            <w:vAlign w:val="center"/>
          </w:tcPr>
          <w:p w14:paraId="33AC2ECE">
            <w:pPr>
              <w:spacing w:line="240" w:lineRule="auto"/>
              <w:jc w:val="center"/>
              <w:rPr>
                <w:b/>
                <w:sz w:val="16"/>
                <w:szCs w:val="16"/>
              </w:rPr>
            </w:pPr>
            <w:r>
              <w:rPr>
                <w:bCs/>
                <w:sz w:val="16"/>
                <w:szCs w:val="16"/>
              </w:rPr>
              <w:t>AVANÇO DE SEMÁFORO</w:t>
            </w:r>
          </w:p>
        </w:tc>
        <w:tc>
          <w:tcPr>
            <w:tcW w:w="1417" w:type="dxa"/>
            <w:tcBorders>
              <w:top w:val="single" w:color="auto" w:sz="4" w:space="0"/>
              <w:left w:val="nil"/>
              <w:bottom w:val="single" w:color="000000" w:sz="4" w:space="0"/>
              <w:right w:val="single" w:color="000000" w:sz="4" w:space="0"/>
            </w:tcBorders>
            <w:shd w:val="clear" w:color="auto" w:fill="FFFFFF"/>
            <w:vAlign w:val="center"/>
          </w:tcPr>
          <w:p w14:paraId="6F8C6216">
            <w:pPr>
              <w:spacing w:line="240" w:lineRule="auto"/>
              <w:jc w:val="center"/>
              <w:rPr>
                <w:b/>
                <w:color w:val="000000"/>
                <w:sz w:val="16"/>
                <w:szCs w:val="16"/>
              </w:rPr>
            </w:pPr>
            <w:r>
              <w:rPr>
                <w:bCs/>
                <w:color w:val="000000"/>
                <w:sz w:val="16"/>
                <w:szCs w:val="16"/>
              </w:rPr>
              <w:t>2</w:t>
            </w:r>
          </w:p>
        </w:tc>
      </w:tr>
      <w:tr w14:paraId="51474C22">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auto" w:sz="4" w:space="0"/>
              <w:right w:val="single" w:color="000000" w:sz="4" w:space="0"/>
            </w:tcBorders>
            <w:shd w:val="clear" w:color="auto" w:fill="FFFFFF"/>
            <w:vAlign w:val="center"/>
          </w:tcPr>
          <w:p w14:paraId="2EAAAE3A">
            <w:pPr>
              <w:spacing w:line="240" w:lineRule="auto"/>
              <w:jc w:val="center"/>
              <w:rPr>
                <w:b/>
                <w:color w:val="000000"/>
                <w:sz w:val="16"/>
                <w:szCs w:val="16"/>
              </w:rPr>
            </w:pPr>
            <w:r>
              <w:rPr>
                <w:bCs/>
                <w:color w:val="000000"/>
                <w:sz w:val="16"/>
                <w:szCs w:val="16"/>
              </w:rPr>
              <w:t>12</w:t>
            </w:r>
          </w:p>
        </w:tc>
        <w:tc>
          <w:tcPr>
            <w:tcW w:w="5499" w:type="dxa"/>
            <w:tcBorders>
              <w:top w:val="single" w:color="000000" w:sz="4" w:space="0"/>
              <w:left w:val="nil"/>
              <w:bottom w:val="single" w:color="auto" w:sz="4" w:space="0"/>
              <w:right w:val="single" w:color="000000" w:sz="4" w:space="0"/>
            </w:tcBorders>
            <w:shd w:val="clear" w:color="auto" w:fill="FFFFFF"/>
            <w:vAlign w:val="center"/>
          </w:tcPr>
          <w:p w14:paraId="64EAAABB">
            <w:pPr>
              <w:spacing w:line="240" w:lineRule="auto"/>
              <w:rPr>
                <w:b/>
                <w:color w:val="000000"/>
                <w:sz w:val="16"/>
                <w:szCs w:val="16"/>
              </w:rPr>
            </w:pPr>
            <w:r>
              <w:rPr>
                <w:bCs/>
                <w:sz w:val="16"/>
                <w:szCs w:val="16"/>
              </w:rPr>
              <w:t>AV. RUA DOM PEDRO II, CRUZAMENTO COM TIRADENTES</w:t>
            </w:r>
            <w:r>
              <w:rPr>
                <w:bCs/>
                <w:sz w:val="16"/>
                <w:szCs w:val="16"/>
              </w:rPr>
              <w:br w:type="textWrapping"/>
            </w:r>
            <w:r>
              <w:rPr>
                <w:bCs/>
                <w:sz w:val="16"/>
                <w:szCs w:val="16"/>
              </w:rPr>
              <w:t>[Centro/Bairro]</w:t>
            </w:r>
          </w:p>
        </w:tc>
        <w:tc>
          <w:tcPr>
            <w:tcW w:w="1276" w:type="dxa"/>
            <w:tcBorders>
              <w:top w:val="nil"/>
              <w:left w:val="nil"/>
              <w:bottom w:val="single" w:color="auto" w:sz="4" w:space="0"/>
              <w:right w:val="single" w:color="000000" w:sz="4" w:space="0"/>
            </w:tcBorders>
            <w:shd w:val="clear" w:color="auto" w:fill="FFFFFF"/>
            <w:vAlign w:val="center"/>
          </w:tcPr>
          <w:p w14:paraId="19A4A299">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auto" w:sz="4" w:space="0"/>
              <w:right w:val="single" w:color="000000" w:sz="4" w:space="0"/>
            </w:tcBorders>
            <w:shd w:val="clear" w:color="auto" w:fill="FFFFFF"/>
            <w:vAlign w:val="center"/>
          </w:tcPr>
          <w:p w14:paraId="5BFE992D">
            <w:pPr>
              <w:spacing w:line="240" w:lineRule="auto"/>
              <w:jc w:val="center"/>
              <w:rPr>
                <w:b/>
                <w:color w:val="000000"/>
                <w:sz w:val="16"/>
                <w:szCs w:val="16"/>
              </w:rPr>
            </w:pPr>
            <w:r>
              <w:rPr>
                <w:bCs/>
                <w:color w:val="000000"/>
                <w:sz w:val="16"/>
                <w:szCs w:val="16"/>
              </w:rPr>
              <w:t>2</w:t>
            </w:r>
          </w:p>
        </w:tc>
      </w:tr>
      <w:tr w14:paraId="1509FACE">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374086B3">
            <w:pPr>
              <w:spacing w:line="240" w:lineRule="auto"/>
              <w:jc w:val="center"/>
              <w:rPr>
                <w:b/>
                <w:color w:val="000000"/>
                <w:sz w:val="16"/>
                <w:szCs w:val="16"/>
              </w:rPr>
            </w:pPr>
            <w:r>
              <w:rPr>
                <w:bCs/>
                <w:color w:val="000000"/>
                <w:sz w:val="16"/>
                <w:szCs w:val="16"/>
              </w:rPr>
              <w:t>13</w:t>
            </w:r>
          </w:p>
        </w:tc>
        <w:tc>
          <w:tcPr>
            <w:tcW w:w="5499" w:type="dxa"/>
            <w:tcBorders>
              <w:top w:val="single" w:color="auto" w:sz="4" w:space="0"/>
              <w:left w:val="single" w:color="auto" w:sz="4" w:space="0"/>
              <w:bottom w:val="single" w:color="auto" w:sz="4" w:space="0"/>
              <w:right w:val="single" w:color="auto" w:sz="4" w:space="0"/>
            </w:tcBorders>
            <w:shd w:val="clear" w:color="auto" w:fill="FFFFFF"/>
            <w:vAlign w:val="center"/>
          </w:tcPr>
          <w:p w14:paraId="417C4C68">
            <w:pPr>
              <w:spacing w:line="240" w:lineRule="auto"/>
              <w:rPr>
                <w:b/>
                <w:color w:val="000000"/>
                <w:sz w:val="16"/>
                <w:szCs w:val="16"/>
              </w:rPr>
            </w:pPr>
            <w:r>
              <w:rPr>
                <w:bCs/>
                <w:sz w:val="16"/>
                <w:szCs w:val="16"/>
              </w:rPr>
              <w:t>AV. LIONS INTERNACIONAL, CRUZAMENTO COM</w:t>
            </w:r>
            <w:r>
              <w:rPr>
                <w:bCs/>
                <w:sz w:val="16"/>
                <w:szCs w:val="16"/>
              </w:rPr>
              <w:br w:type="textWrapping"/>
            </w:r>
            <w:r>
              <w:rPr>
                <w:bCs/>
                <w:sz w:val="16"/>
                <w:szCs w:val="16"/>
              </w:rPr>
              <w:t>FERNANDO CORRÊA DA COSTA [Sentido: Centro/Bairro]</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14:paraId="588C0147">
            <w:pPr>
              <w:spacing w:line="240" w:lineRule="auto"/>
              <w:jc w:val="center"/>
              <w:rPr>
                <w:b/>
                <w:sz w:val="16"/>
                <w:szCs w:val="16"/>
              </w:rPr>
            </w:pPr>
            <w:r>
              <w:rPr>
                <w:bCs/>
                <w:sz w:val="16"/>
                <w:szCs w:val="16"/>
              </w:rPr>
              <w:t>AVANÇO DE SEMÁFORO</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14:paraId="0E19F649">
            <w:pPr>
              <w:spacing w:line="240" w:lineRule="auto"/>
              <w:jc w:val="center"/>
              <w:rPr>
                <w:b/>
                <w:color w:val="000000"/>
                <w:sz w:val="16"/>
                <w:szCs w:val="16"/>
              </w:rPr>
            </w:pPr>
            <w:r>
              <w:rPr>
                <w:bCs/>
                <w:color w:val="000000"/>
                <w:sz w:val="16"/>
                <w:szCs w:val="16"/>
              </w:rPr>
              <w:t>2</w:t>
            </w:r>
          </w:p>
        </w:tc>
      </w:tr>
      <w:tr w14:paraId="250FFB23">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3AE771B9">
            <w:pPr>
              <w:spacing w:line="240" w:lineRule="auto"/>
              <w:jc w:val="center"/>
              <w:rPr>
                <w:b/>
                <w:color w:val="000000"/>
                <w:sz w:val="16"/>
                <w:szCs w:val="16"/>
              </w:rPr>
            </w:pPr>
            <w:r>
              <w:rPr>
                <w:bCs/>
                <w:color w:val="000000"/>
                <w:sz w:val="16"/>
                <w:szCs w:val="16"/>
              </w:rPr>
              <w:t>14</w:t>
            </w:r>
          </w:p>
        </w:tc>
        <w:tc>
          <w:tcPr>
            <w:tcW w:w="5499" w:type="dxa"/>
            <w:tcBorders>
              <w:top w:val="single" w:color="auto" w:sz="4" w:space="0"/>
              <w:left w:val="nil"/>
              <w:bottom w:val="single" w:color="000000" w:sz="4" w:space="0"/>
              <w:right w:val="single" w:color="000000" w:sz="4" w:space="0"/>
            </w:tcBorders>
            <w:shd w:val="clear" w:color="auto" w:fill="FFFFFF"/>
            <w:vAlign w:val="center"/>
          </w:tcPr>
          <w:p w14:paraId="5C02AB95">
            <w:pPr>
              <w:spacing w:line="240" w:lineRule="auto"/>
              <w:rPr>
                <w:b/>
                <w:color w:val="000000"/>
                <w:sz w:val="16"/>
                <w:szCs w:val="16"/>
              </w:rPr>
            </w:pPr>
            <w:r>
              <w:rPr>
                <w:bCs/>
                <w:sz w:val="16"/>
                <w:szCs w:val="16"/>
              </w:rPr>
              <w:t>AV. FERNANDO CORRÊA DA COSTA, CRUZAMENTO COM</w:t>
            </w:r>
            <w:r>
              <w:rPr>
                <w:bCs/>
                <w:sz w:val="16"/>
                <w:szCs w:val="16"/>
              </w:rPr>
              <w:br w:type="textWrapping"/>
            </w:r>
            <w:r>
              <w:rPr>
                <w:bCs/>
                <w:sz w:val="16"/>
                <w:szCs w:val="16"/>
              </w:rPr>
              <w:t>AV. LIONS INTERNACIONAL [Sentido: Centro/Bairro]</w:t>
            </w:r>
          </w:p>
        </w:tc>
        <w:tc>
          <w:tcPr>
            <w:tcW w:w="1276" w:type="dxa"/>
            <w:tcBorders>
              <w:top w:val="single" w:color="auto" w:sz="4" w:space="0"/>
              <w:left w:val="nil"/>
              <w:bottom w:val="single" w:color="000000" w:sz="4" w:space="0"/>
              <w:right w:val="single" w:color="000000" w:sz="4" w:space="0"/>
            </w:tcBorders>
            <w:shd w:val="clear" w:color="auto" w:fill="FFFFFF"/>
            <w:vAlign w:val="center"/>
          </w:tcPr>
          <w:p w14:paraId="6D7D6A1D">
            <w:pPr>
              <w:spacing w:line="240" w:lineRule="auto"/>
              <w:jc w:val="center"/>
              <w:rPr>
                <w:b/>
                <w:sz w:val="16"/>
                <w:szCs w:val="16"/>
              </w:rPr>
            </w:pPr>
            <w:r>
              <w:rPr>
                <w:bCs/>
                <w:sz w:val="16"/>
                <w:szCs w:val="16"/>
              </w:rPr>
              <w:t>AVANÇO DE SEMÁFORO</w:t>
            </w:r>
          </w:p>
        </w:tc>
        <w:tc>
          <w:tcPr>
            <w:tcW w:w="1417" w:type="dxa"/>
            <w:tcBorders>
              <w:top w:val="single" w:color="auto" w:sz="4" w:space="0"/>
              <w:left w:val="nil"/>
              <w:bottom w:val="single" w:color="000000" w:sz="4" w:space="0"/>
              <w:right w:val="single" w:color="000000" w:sz="4" w:space="0"/>
            </w:tcBorders>
            <w:shd w:val="clear" w:color="auto" w:fill="FFFFFF"/>
            <w:vAlign w:val="center"/>
          </w:tcPr>
          <w:p w14:paraId="7F5CC574">
            <w:pPr>
              <w:spacing w:line="240" w:lineRule="auto"/>
              <w:jc w:val="center"/>
              <w:rPr>
                <w:b/>
                <w:color w:val="000000"/>
                <w:sz w:val="16"/>
                <w:szCs w:val="16"/>
              </w:rPr>
            </w:pPr>
            <w:r>
              <w:rPr>
                <w:bCs/>
                <w:color w:val="000000"/>
                <w:sz w:val="16"/>
                <w:szCs w:val="16"/>
              </w:rPr>
              <w:t>2</w:t>
            </w:r>
          </w:p>
        </w:tc>
      </w:tr>
      <w:tr w14:paraId="6E5DB70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1223B43">
            <w:pPr>
              <w:spacing w:line="240" w:lineRule="auto"/>
              <w:jc w:val="center"/>
              <w:rPr>
                <w:b/>
                <w:color w:val="000000"/>
                <w:sz w:val="16"/>
                <w:szCs w:val="16"/>
              </w:rPr>
            </w:pPr>
            <w:r>
              <w:rPr>
                <w:bCs/>
                <w:color w:val="000000"/>
                <w:sz w:val="16"/>
                <w:szCs w:val="16"/>
              </w:rPr>
              <w:t>15</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9487978">
            <w:pPr>
              <w:spacing w:line="240" w:lineRule="auto"/>
              <w:rPr>
                <w:b/>
                <w:sz w:val="16"/>
                <w:szCs w:val="16"/>
              </w:rPr>
            </w:pPr>
            <w:r>
              <w:rPr>
                <w:bCs/>
                <w:sz w:val="16"/>
                <w:szCs w:val="16"/>
              </w:rPr>
              <w:t>AV. OTAVIANO MUNIZ, ENTROCAMENTO COM AV. FERNANDO CORREA E AV. LIONS INTERNACIONAL</w:t>
            </w:r>
          </w:p>
        </w:tc>
        <w:tc>
          <w:tcPr>
            <w:tcW w:w="1276" w:type="dxa"/>
            <w:tcBorders>
              <w:top w:val="nil"/>
              <w:left w:val="nil"/>
              <w:bottom w:val="single" w:color="000000" w:sz="4" w:space="0"/>
              <w:right w:val="single" w:color="000000" w:sz="4" w:space="0"/>
            </w:tcBorders>
            <w:shd w:val="clear" w:color="auto" w:fill="FFFFFF"/>
            <w:vAlign w:val="center"/>
          </w:tcPr>
          <w:p w14:paraId="7C68BB72">
            <w:pPr>
              <w:spacing w:line="240" w:lineRule="auto"/>
              <w:jc w:val="center"/>
              <w:rPr>
                <w:b/>
                <w:sz w:val="16"/>
                <w:szCs w:val="16"/>
              </w:rPr>
            </w:pPr>
            <w:r>
              <w:rPr>
                <w:bCs/>
                <w:sz w:val="16"/>
                <w:szCs w:val="16"/>
              </w:rPr>
              <w:t>AVANÇO DE SEMÁFORO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58EBEFDC">
            <w:pPr>
              <w:spacing w:line="240" w:lineRule="auto"/>
              <w:jc w:val="center"/>
              <w:rPr>
                <w:b/>
                <w:color w:val="000000"/>
                <w:sz w:val="16"/>
                <w:szCs w:val="16"/>
              </w:rPr>
            </w:pPr>
            <w:r>
              <w:rPr>
                <w:bCs/>
                <w:color w:val="000000"/>
                <w:sz w:val="16"/>
                <w:szCs w:val="16"/>
              </w:rPr>
              <w:t>2</w:t>
            </w:r>
          </w:p>
        </w:tc>
      </w:tr>
      <w:tr w14:paraId="56ACD6D9">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C43FEF5">
            <w:pPr>
              <w:spacing w:line="240" w:lineRule="auto"/>
              <w:jc w:val="center"/>
              <w:rPr>
                <w:b/>
                <w:color w:val="000000"/>
                <w:sz w:val="16"/>
                <w:szCs w:val="16"/>
              </w:rPr>
            </w:pPr>
            <w:r>
              <w:rPr>
                <w:bCs/>
                <w:color w:val="000000"/>
                <w:sz w:val="16"/>
                <w:szCs w:val="16"/>
              </w:rPr>
              <w:t>16</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98CE73">
            <w:pPr>
              <w:spacing w:line="240" w:lineRule="auto"/>
              <w:rPr>
                <w:b/>
                <w:sz w:val="16"/>
                <w:szCs w:val="16"/>
              </w:rPr>
            </w:pPr>
            <w:r>
              <w:rPr>
                <w:bCs/>
                <w:sz w:val="16"/>
                <w:szCs w:val="16"/>
              </w:rPr>
              <w:t>Rua Fernando Correa da Costa X Avenida Dom Wunibaldo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34FCA0">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CC60DD">
            <w:pPr>
              <w:spacing w:line="240" w:lineRule="auto"/>
              <w:jc w:val="center"/>
              <w:rPr>
                <w:b/>
                <w:color w:val="000000"/>
                <w:sz w:val="16"/>
                <w:szCs w:val="16"/>
              </w:rPr>
            </w:pPr>
            <w:r>
              <w:rPr>
                <w:bCs/>
                <w:color w:val="000000"/>
                <w:sz w:val="16"/>
                <w:szCs w:val="16"/>
              </w:rPr>
              <w:t>2</w:t>
            </w:r>
          </w:p>
        </w:tc>
      </w:tr>
      <w:tr w14:paraId="410D195F">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FBB377F">
            <w:pPr>
              <w:spacing w:line="240" w:lineRule="auto"/>
              <w:jc w:val="center"/>
              <w:rPr>
                <w:b/>
                <w:color w:val="000000"/>
                <w:sz w:val="16"/>
                <w:szCs w:val="16"/>
              </w:rPr>
            </w:pPr>
            <w:r>
              <w:rPr>
                <w:bCs/>
                <w:color w:val="000000"/>
                <w:sz w:val="16"/>
                <w:szCs w:val="16"/>
              </w:rPr>
              <w:t>17</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4CD5DC">
            <w:pPr>
              <w:spacing w:line="240" w:lineRule="auto"/>
              <w:rPr>
                <w:b/>
                <w:sz w:val="16"/>
                <w:szCs w:val="16"/>
              </w:rPr>
            </w:pPr>
            <w:r>
              <w:rPr>
                <w:bCs/>
                <w:sz w:val="16"/>
                <w:szCs w:val="16"/>
              </w:rPr>
              <w:t>AVENIDA DOM WUNIBALDO X RUA FERNANDO CORREA DA COSTA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B520C6">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B7538E">
            <w:pPr>
              <w:spacing w:line="240" w:lineRule="auto"/>
              <w:jc w:val="center"/>
              <w:rPr>
                <w:b/>
                <w:color w:val="000000"/>
                <w:sz w:val="16"/>
                <w:szCs w:val="16"/>
              </w:rPr>
            </w:pPr>
            <w:r>
              <w:rPr>
                <w:bCs/>
                <w:color w:val="000000"/>
                <w:sz w:val="16"/>
                <w:szCs w:val="16"/>
              </w:rPr>
              <w:t>2</w:t>
            </w:r>
          </w:p>
        </w:tc>
      </w:tr>
      <w:tr w14:paraId="2411ECAC">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E93207D">
            <w:pPr>
              <w:spacing w:line="240" w:lineRule="auto"/>
              <w:jc w:val="center"/>
              <w:rPr>
                <w:b/>
                <w:color w:val="000000"/>
                <w:sz w:val="16"/>
                <w:szCs w:val="16"/>
              </w:rPr>
            </w:pPr>
            <w:r>
              <w:rPr>
                <w:bCs/>
                <w:color w:val="000000"/>
                <w:sz w:val="16"/>
                <w:szCs w:val="16"/>
              </w:rPr>
              <w:t>18</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52201E">
            <w:pPr>
              <w:spacing w:line="240" w:lineRule="auto"/>
              <w:rPr>
                <w:b/>
                <w:sz w:val="16"/>
                <w:szCs w:val="16"/>
              </w:rPr>
            </w:pPr>
            <w:r>
              <w:rPr>
                <w:bCs/>
                <w:sz w:val="16"/>
                <w:szCs w:val="16"/>
              </w:rPr>
              <w:t>RUA FERNANDO CORREA X RUA BANDEIRANTES</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A70E65">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DFF6F5">
            <w:pPr>
              <w:spacing w:line="240" w:lineRule="auto"/>
              <w:jc w:val="center"/>
              <w:rPr>
                <w:b/>
                <w:color w:val="000000"/>
                <w:sz w:val="16"/>
                <w:szCs w:val="16"/>
              </w:rPr>
            </w:pPr>
            <w:r>
              <w:rPr>
                <w:bCs/>
                <w:color w:val="000000"/>
                <w:sz w:val="16"/>
                <w:szCs w:val="16"/>
              </w:rPr>
              <w:t>2</w:t>
            </w:r>
          </w:p>
        </w:tc>
      </w:tr>
      <w:tr w14:paraId="68971EAF">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EB149E4">
            <w:pPr>
              <w:spacing w:line="240" w:lineRule="auto"/>
              <w:jc w:val="center"/>
              <w:rPr>
                <w:b/>
                <w:color w:val="000000"/>
                <w:sz w:val="16"/>
                <w:szCs w:val="16"/>
              </w:rPr>
            </w:pPr>
            <w:r>
              <w:rPr>
                <w:bCs/>
                <w:color w:val="000000"/>
                <w:sz w:val="16"/>
                <w:szCs w:val="16"/>
              </w:rPr>
              <w:t>19</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6C8DA3">
            <w:pPr>
              <w:spacing w:line="240" w:lineRule="auto"/>
              <w:rPr>
                <w:b/>
                <w:sz w:val="16"/>
                <w:szCs w:val="16"/>
              </w:rPr>
            </w:pPr>
            <w:r>
              <w:rPr>
                <w:bCs/>
                <w:sz w:val="16"/>
                <w:szCs w:val="16"/>
              </w:rPr>
              <w:t>RUA BANDEIRANTES X RUA FERNANDO DA COSTA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28FF1">
            <w:pPr>
              <w:spacing w:line="240" w:lineRule="auto"/>
              <w:jc w:val="center"/>
              <w:rPr>
                <w:b/>
                <w:sz w:val="16"/>
                <w:szCs w:val="16"/>
              </w:rPr>
            </w:pPr>
            <w:r>
              <w:rPr>
                <w:bCs/>
                <w:sz w:val="16"/>
                <w:szCs w:val="16"/>
              </w:rPr>
              <w:t>AVANÇO DE SEMAFORO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D8CF58">
            <w:pPr>
              <w:spacing w:line="240" w:lineRule="auto"/>
              <w:jc w:val="center"/>
              <w:rPr>
                <w:b/>
                <w:color w:val="000000"/>
                <w:sz w:val="16"/>
                <w:szCs w:val="16"/>
              </w:rPr>
            </w:pPr>
            <w:r>
              <w:rPr>
                <w:bCs/>
                <w:color w:val="000000"/>
                <w:sz w:val="16"/>
                <w:szCs w:val="16"/>
              </w:rPr>
              <w:t>2</w:t>
            </w:r>
          </w:p>
        </w:tc>
      </w:tr>
      <w:tr w14:paraId="75243440">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88116DD">
            <w:pPr>
              <w:spacing w:line="240" w:lineRule="auto"/>
              <w:jc w:val="center"/>
              <w:rPr>
                <w:b/>
                <w:color w:val="000000"/>
                <w:sz w:val="16"/>
                <w:szCs w:val="16"/>
              </w:rPr>
            </w:pPr>
            <w:r>
              <w:rPr>
                <w:bCs/>
                <w:color w:val="000000"/>
                <w:sz w:val="16"/>
                <w:szCs w:val="16"/>
              </w:rPr>
              <w:t>20</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56D65A">
            <w:pPr>
              <w:spacing w:line="240" w:lineRule="auto"/>
              <w:rPr>
                <w:b/>
                <w:sz w:val="16"/>
                <w:szCs w:val="16"/>
              </w:rPr>
            </w:pPr>
            <w:r>
              <w:rPr>
                <w:bCs/>
                <w:sz w:val="16"/>
                <w:szCs w:val="16"/>
              </w:rPr>
              <w:t>RUA FERNANDO CORREA DA COSTA X AV. PRESIDENTE KENNEDY</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6A3222">
            <w:pPr>
              <w:spacing w:line="240" w:lineRule="auto"/>
              <w:jc w:val="center"/>
              <w:rPr>
                <w:b/>
                <w:sz w:val="16"/>
                <w:szCs w:val="16"/>
              </w:rPr>
            </w:pPr>
            <w:r>
              <w:rPr>
                <w:bCs/>
                <w:sz w:val="16"/>
                <w:szCs w:val="16"/>
              </w:rPr>
              <w:t>AVANÇO DE SEMAFORO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20A5B">
            <w:pPr>
              <w:spacing w:line="240" w:lineRule="auto"/>
              <w:jc w:val="center"/>
              <w:rPr>
                <w:b/>
                <w:color w:val="000000"/>
                <w:sz w:val="16"/>
                <w:szCs w:val="16"/>
              </w:rPr>
            </w:pPr>
            <w:r>
              <w:rPr>
                <w:bCs/>
                <w:color w:val="000000"/>
                <w:sz w:val="16"/>
                <w:szCs w:val="16"/>
              </w:rPr>
              <w:t>2</w:t>
            </w:r>
          </w:p>
        </w:tc>
      </w:tr>
      <w:tr w14:paraId="59F64479">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8F56A5F">
            <w:pPr>
              <w:spacing w:line="240" w:lineRule="auto"/>
              <w:jc w:val="center"/>
              <w:rPr>
                <w:b/>
                <w:color w:val="000000"/>
                <w:sz w:val="16"/>
                <w:szCs w:val="16"/>
              </w:rPr>
            </w:pPr>
            <w:r>
              <w:rPr>
                <w:bCs/>
                <w:color w:val="000000"/>
                <w:sz w:val="16"/>
                <w:szCs w:val="16"/>
              </w:rPr>
              <w:t>21</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FE8060">
            <w:pPr>
              <w:spacing w:line="240" w:lineRule="auto"/>
              <w:rPr>
                <w:b/>
                <w:sz w:val="16"/>
                <w:szCs w:val="16"/>
              </w:rPr>
            </w:pPr>
            <w:r>
              <w:rPr>
                <w:bCs/>
                <w:sz w:val="16"/>
                <w:szCs w:val="16"/>
              </w:rPr>
              <w:t>AV PRESIDENTE KENNEY X RUA FERNANDO CORREA DA COSTA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8FAFC0">
            <w:pPr>
              <w:spacing w:line="240" w:lineRule="auto"/>
              <w:jc w:val="center"/>
              <w:rPr>
                <w:b/>
                <w:sz w:val="16"/>
                <w:szCs w:val="16"/>
              </w:rPr>
            </w:pPr>
            <w:r>
              <w:rPr>
                <w:bCs/>
                <w:sz w:val="16"/>
                <w:szCs w:val="16"/>
              </w:rPr>
              <w:t>AVANÇO DE SEMAFORO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564086">
            <w:pPr>
              <w:spacing w:line="240" w:lineRule="auto"/>
              <w:jc w:val="center"/>
              <w:rPr>
                <w:b/>
                <w:color w:val="000000"/>
                <w:sz w:val="16"/>
                <w:szCs w:val="16"/>
              </w:rPr>
            </w:pPr>
            <w:r>
              <w:rPr>
                <w:bCs/>
                <w:color w:val="000000"/>
                <w:sz w:val="16"/>
                <w:szCs w:val="16"/>
              </w:rPr>
              <w:t>2</w:t>
            </w:r>
          </w:p>
        </w:tc>
      </w:tr>
      <w:tr w14:paraId="30DF45B9">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7ADB018">
            <w:pPr>
              <w:spacing w:line="240" w:lineRule="auto"/>
              <w:jc w:val="center"/>
              <w:rPr>
                <w:b/>
                <w:color w:val="000000"/>
                <w:sz w:val="16"/>
                <w:szCs w:val="16"/>
              </w:rPr>
            </w:pPr>
            <w:r>
              <w:rPr>
                <w:bCs/>
                <w:color w:val="000000"/>
                <w:sz w:val="16"/>
                <w:szCs w:val="16"/>
              </w:rPr>
              <w:t>22</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497644">
            <w:pPr>
              <w:spacing w:line="240" w:lineRule="auto"/>
              <w:rPr>
                <w:b/>
                <w:sz w:val="16"/>
                <w:szCs w:val="16"/>
              </w:rPr>
            </w:pPr>
            <w:r>
              <w:rPr>
                <w:bCs/>
                <w:sz w:val="16"/>
                <w:szCs w:val="16"/>
              </w:rPr>
              <w:t>AV. XV DE NOVEMBRO X AV TIRADENTES</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4AD79C">
            <w:pPr>
              <w:spacing w:line="240" w:lineRule="auto"/>
              <w:jc w:val="center"/>
              <w:rPr>
                <w:b/>
                <w:sz w:val="16"/>
                <w:szCs w:val="16"/>
              </w:rPr>
            </w:pPr>
            <w:r>
              <w:rPr>
                <w:bCs/>
                <w:sz w:val="16"/>
                <w:szCs w:val="16"/>
              </w:rPr>
              <w:t>AVANÇO DE SEMAFORO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3E4B65">
            <w:pPr>
              <w:spacing w:line="240" w:lineRule="auto"/>
              <w:jc w:val="center"/>
              <w:rPr>
                <w:b/>
                <w:color w:val="000000"/>
                <w:sz w:val="16"/>
                <w:szCs w:val="16"/>
              </w:rPr>
            </w:pPr>
            <w:r>
              <w:rPr>
                <w:bCs/>
                <w:color w:val="000000"/>
                <w:sz w:val="16"/>
                <w:szCs w:val="16"/>
              </w:rPr>
              <w:t>2</w:t>
            </w:r>
          </w:p>
        </w:tc>
      </w:tr>
      <w:tr w14:paraId="023AB960">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082907E">
            <w:pPr>
              <w:spacing w:line="240" w:lineRule="auto"/>
              <w:jc w:val="center"/>
              <w:rPr>
                <w:b/>
                <w:color w:val="000000"/>
                <w:sz w:val="16"/>
                <w:szCs w:val="16"/>
              </w:rPr>
            </w:pPr>
            <w:r>
              <w:rPr>
                <w:bCs/>
                <w:color w:val="000000"/>
                <w:sz w:val="16"/>
                <w:szCs w:val="16"/>
              </w:rPr>
              <w:t>23</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EDF3C9">
            <w:pPr>
              <w:spacing w:line="240" w:lineRule="auto"/>
              <w:rPr>
                <w:b/>
                <w:sz w:val="16"/>
                <w:szCs w:val="16"/>
              </w:rPr>
            </w:pPr>
            <w:r>
              <w:rPr>
                <w:bCs/>
                <w:sz w:val="16"/>
                <w:szCs w:val="16"/>
              </w:rPr>
              <w:t>AV. TIRADENTES X AV XV DE NOVEMBRO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AE40D5">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FA166A">
            <w:pPr>
              <w:spacing w:line="240" w:lineRule="auto"/>
              <w:jc w:val="center"/>
              <w:rPr>
                <w:b/>
                <w:color w:val="000000"/>
                <w:sz w:val="16"/>
                <w:szCs w:val="16"/>
              </w:rPr>
            </w:pPr>
            <w:r>
              <w:rPr>
                <w:bCs/>
                <w:color w:val="000000"/>
                <w:sz w:val="16"/>
                <w:szCs w:val="16"/>
              </w:rPr>
              <w:t>2</w:t>
            </w:r>
          </w:p>
        </w:tc>
      </w:tr>
      <w:tr w14:paraId="61516C0C">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1E65BB0">
            <w:pPr>
              <w:spacing w:line="240" w:lineRule="auto"/>
              <w:jc w:val="center"/>
              <w:rPr>
                <w:b/>
                <w:color w:val="000000"/>
                <w:sz w:val="16"/>
                <w:szCs w:val="16"/>
                <w:highlight w:val="yellow"/>
              </w:rPr>
            </w:pPr>
            <w:r>
              <w:rPr>
                <w:bCs/>
                <w:color w:val="000000"/>
                <w:sz w:val="16"/>
                <w:szCs w:val="16"/>
              </w:rPr>
              <w:t>24</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58312E">
            <w:pPr>
              <w:spacing w:line="240" w:lineRule="auto"/>
              <w:rPr>
                <w:b/>
                <w:sz w:val="16"/>
                <w:szCs w:val="16"/>
              </w:rPr>
            </w:pPr>
            <w:r>
              <w:rPr>
                <w:bCs/>
                <w:sz w:val="16"/>
                <w:szCs w:val="16"/>
              </w:rPr>
              <w:t>RUA FRANCISCO FELIX x AV BANDEIRANTES</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636BB4">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27C8DC">
            <w:pPr>
              <w:spacing w:line="240" w:lineRule="auto"/>
              <w:jc w:val="center"/>
              <w:rPr>
                <w:b/>
                <w:color w:val="000000"/>
                <w:sz w:val="16"/>
                <w:szCs w:val="16"/>
                <w:highlight w:val="yellow"/>
              </w:rPr>
            </w:pPr>
            <w:r>
              <w:rPr>
                <w:bCs/>
                <w:color w:val="000000"/>
                <w:sz w:val="16"/>
                <w:szCs w:val="16"/>
              </w:rPr>
              <w:t>2</w:t>
            </w:r>
          </w:p>
        </w:tc>
      </w:tr>
      <w:tr w14:paraId="4FA50EA7">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BAAF72F">
            <w:pPr>
              <w:spacing w:line="240" w:lineRule="auto"/>
              <w:jc w:val="center"/>
              <w:rPr>
                <w:b/>
                <w:color w:val="000000"/>
                <w:sz w:val="16"/>
                <w:szCs w:val="16"/>
                <w:highlight w:val="yellow"/>
              </w:rPr>
            </w:pPr>
            <w:r>
              <w:rPr>
                <w:bCs/>
                <w:color w:val="000000"/>
                <w:sz w:val="16"/>
                <w:szCs w:val="16"/>
              </w:rPr>
              <w:t>25</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D96BFD">
            <w:pPr>
              <w:spacing w:line="240" w:lineRule="auto"/>
              <w:rPr>
                <w:b/>
                <w:sz w:val="16"/>
                <w:szCs w:val="16"/>
              </w:rPr>
            </w:pPr>
            <w:r>
              <w:rPr>
                <w:bCs/>
                <w:sz w:val="16"/>
                <w:szCs w:val="16"/>
              </w:rPr>
              <w:t>AV. TIRADENTES X RUA FRACISCO FELIX</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09F4E">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BC3760">
            <w:pPr>
              <w:spacing w:line="240" w:lineRule="auto"/>
              <w:jc w:val="center"/>
              <w:rPr>
                <w:b/>
                <w:color w:val="000000"/>
                <w:sz w:val="16"/>
                <w:szCs w:val="16"/>
                <w:highlight w:val="yellow"/>
              </w:rPr>
            </w:pPr>
            <w:r>
              <w:rPr>
                <w:bCs/>
                <w:color w:val="000000"/>
                <w:sz w:val="16"/>
                <w:szCs w:val="16"/>
              </w:rPr>
              <w:t>3</w:t>
            </w:r>
          </w:p>
        </w:tc>
      </w:tr>
      <w:tr w14:paraId="41548396">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A300007">
            <w:pPr>
              <w:spacing w:line="240" w:lineRule="auto"/>
              <w:jc w:val="center"/>
              <w:rPr>
                <w:b/>
                <w:color w:val="000000"/>
                <w:sz w:val="16"/>
                <w:szCs w:val="16"/>
                <w:highlight w:val="yellow"/>
              </w:rPr>
            </w:pPr>
            <w:r>
              <w:rPr>
                <w:bCs/>
                <w:color w:val="000000"/>
                <w:sz w:val="16"/>
                <w:szCs w:val="16"/>
              </w:rPr>
              <w:t>26</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7DC5EF">
            <w:pPr>
              <w:spacing w:line="240" w:lineRule="auto"/>
              <w:rPr>
                <w:b/>
                <w:sz w:val="16"/>
                <w:szCs w:val="16"/>
              </w:rPr>
            </w:pPr>
            <w:r>
              <w:rPr>
                <w:bCs/>
                <w:sz w:val="16"/>
                <w:szCs w:val="16"/>
              </w:rPr>
              <w:t>RUA JOSÉ BARRIGA X AV. TIRADENTES</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1F6745">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C9AF3C">
            <w:pPr>
              <w:spacing w:line="240" w:lineRule="auto"/>
              <w:jc w:val="center"/>
              <w:rPr>
                <w:b/>
                <w:color w:val="000000"/>
                <w:sz w:val="16"/>
                <w:szCs w:val="16"/>
                <w:highlight w:val="yellow"/>
              </w:rPr>
            </w:pPr>
            <w:r>
              <w:rPr>
                <w:bCs/>
                <w:color w:val="000000"/>
                <w:sz w:val="16"/>
                <w:szCs w:val="16"/>
              </w:rPr>
              <w:t>2</w:t>
            </w:r>
          </w:p>
        </w:tc>
      </w:tr>
      <w:tr w14:paraId="61A169C0">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248F5D2">
            <w:pPr>
              <w:spacing w:line="240" w:lineRule="auto"/>
              <w:jc w:val="center"/>
              <w:rPr>
                <w:b/>
                <w:color w:val="000000"/>
                <w:sz w:val="16"/>
                <w:szCs w:val="16"/>
                <w:highlight w:val="yellow"/>
              </w:rPr>
            </w:pPr>
            <w:r>
              <w:rPr>
                <w:bCs/>
                <w:color w:val="000000"/>
                <w:sz w:val="16"/>
                <w:szCs w:val="16"/>
              </w:rPr>
              <w:t>27</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0B5B72">
            <w:pPr>
              <w:spacing w:line="240" w:lineRule="auto"/>
              <w:rPr>
                <w:b/>
                <w:sz w:val="16"/>
                <w:szCs w:val="16"/>
              </w:rPr>
            </w:pPr>
            <w:r>
              <w:rPr>
                <w:bCs/>
                <w:sz w:val="16"/>
                <w:szCs w:val="16"/>
              </w:rPr>
              <w:t>AV. AEROPORTO X RUA JOÃO PONCEDE ARRUDA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BFFC4E">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3F18A5">
            <w:pPr>
              <w:spacing w:line="240" w:lineRule="auto"/>
              <w:jc w:val="center"/>
              <w:rPr>
                <w:b/>
                <w:color w:val="000000"/>
                <w:sz w:val="16"/>
                <w:szCs w:val="16"/>
                <w:highlight w:val="yellow"/>
              </w:rPr>
            </w:pPr>
            <w:r>
              <w:rPr>
                <w:bCs/>
                <w:color w:val="000000"/>
                <w:sz w:val="16"/>
                <w:szCs w:val="16"/>
              </w:rPr>
              <w:t>2</w:t>
            </w:r>
          </w:p>
        </w:tc>
      </w:tr>
      <w:tr w14:paraId="23AF5F1C">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862D5AD">
            <w:pPr>
              <w:spacing w:line="240" w:lineRule="auto"/>
              <w:jc w:val="center"/>
              <w:rPr>
                <w:b/>
                <w:color w:val="000000"/>
                <w:sz w:val="16"/>
                <w:szCs w:val="16"/>
                <w:highlight w:val="yellow"/>
              </w:rPr>
            </w:pPr>
            <w:r>
              <w:rPr>
                <w:bCs/>
                <w:color w:val="000000"/>
                <w:sz w:val="16"/>
                <w:szCs w:val="16"/>
              </w:rPr>
              <w:t>28</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AC090A">
            <w:pPr>
              <w:spacing w:line="240" w:lineRule="auto"/>
              <w:rPr>
                <w:b/>
                <w:sz w:val="16"/>
                <w:szCs w:val="16"/>
              </w:rPr>
            </w:pPr>
            <w:r>
              <w:rPr>
                <w:bCs/>
                <w:sz w:val="16"/>
                <w:szCs w:val="16"/>
              </w:rPr>
              <w:t>AV. MARECHAL RONDON X RUA JOSÉ BARRIGA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E3B181">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1D78C8">
            <w:pPr>
              <w:spacing w:line="240" w:lineRule="auto"/>
              <w:jc w:val="center"/>
              <w:rPr>
                <w:b/>
                <w:color w:val="000000"/>
                <w:sz w:val="16"/>
                <w:szCs w:val="16"/>
                <w:highlight w:val="yellow"/>
              </w:rPr>
            </w:pPr>
            <w:r>
              <w:rPr>
                <w:bCs/>
                <w:color w:val="000000"/>
                <w:sz w:val="16"/>
                <w:szCs w:val="16"/>
              </w:rPr>
              <w:t>3</w:t>
            </w:r>
          </w:p>
        </w:tc>
      </w:tr>
      <w:tr w14:paraId="5D9116CC">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9E06F78">
            <w:pPr>
              <w:spacing w:line="240" w:lineRule="auto"/>
              <w:jc w:val="center"/>
              <w:rPr>
                <w:b/>
                <w:color w:val="000000"/>
                <w:sz w:val="16"/>
                <w:szCs w:val="16"/>
                <w:highlight w:val="yellow"/>
              </w:rPr>
            </w:pPr>
            <w:r>
              <w:rPr>
                <w:bCs/>
                <w:color w:val="000000"/>
                <w:sz w:val="16"/>
                <w:szCs w:val="16"/>
              </w:rPr>
              <w:t>29</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210E35">
            <w:pPr>
              <w:spacing w:line="240" w:lineRule="auto"/>
              <w:rPr>
                <w:b/>
                <w:sz w:val="16"/>
                <w:szCs w:val="16"/>
              </w:rPr>
            </w:pPr>
            <w:r>
              <w:rPr>
                <w:bCs/>
                <w:sz w:val="16"/>
                <w:szCs w:val="16"/>
              </w:rPr>
              <w:t>AV. BANDEIRANTES X AV. AFONSO PENA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2AE942">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43794B">
            <w:pPr>
              <w:spacing w:line="240" w:lineRule="auto"/>
              <w:jc w:val="center"/>
              <w:rPr>
                <w:b/>
                <w:color w:val="000000"/>
                <w:sz w:val="16"/>
                <w:szCs w:val="16"/>
                <w:highlight w:val="yellow"/>
              </w:rPr>
            </w:pPr>
            <w:r>
              <w:rPr>
                <w:bCs/>
                <w:color w:val="000000"/>
                <w:sz w:val="16"/>
                <w:szCs w:val="16"/>
              </w:rPr>
              <w:t>2</w:t>
            </w:r>
          </w:p>
        </w:tc>
      </w:tr>
      <w:tr w14:paraId="3F9A8CDD">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224872C">
            <w:pPr>
              <w:spacing w:line="240" w:lineRule="auto"/>
              <w:jc w:val="center"/>
              <w:rPr>
                <w:b/>
                <w:color w:val="000000"/>
                <w:sz w:val="16"/>
                <w:szCs w:val="16"/>
                <w:highlight w:val="yellow"/>
              </w:rPr>
            </w:pPr>
            <w:r>
              <w:rPr>
                <w:bCs/>
                <w:color w:val="000000"/>
                <w:sz w:val="16"/>
                <w:szCs w:val="16"/>
              </w:rPr>
              <w:t>30</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26E82">
            <w:pPr>
              <w:spacing w:line="240" w:lineRule="auto"/>
              <w:rPr>
                <w:b/>
                <w:sz w:val="16"/>
                <w:szCs w:val="16"/>
              </w:rPr>
            </w:pPr>
            <w:r>
              <w:rPr>
                <w:bCs/>
                <w:sz w:val="16"/>
                <w:szCs w:val="16"/>
              </w:rPr>
              <w:t>AV. FREI SERVÁCIO X RUA BARÃO DO RIO BRANCO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367506">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345480">
            <w:pPr>
              <w:spacing w:line="240" w:lineRule="auto"/>
              <w:jc w:val="center"/>
              <w:rPr>
                <w:b/>
                <w:color w:val="000000"/>
                <w:sz w:val="16"/>
                <w:szCs w:val="16"/>
                <w:highlight w:val="yellow"/>
              </w:rPr>
            </w:pPr>
            <w:r>
              <w:rPr>
                <w:bCs/>
                <w:color w:val="000000"/>
                <w:sz w:val="16"/>
                <w:szCs w:val="16"/>
              </w:rPr>
              <w:t>2</w:t>
            </w:r>
          </w:p>
        </w:tc>
      </w:tr>
      <w:tr w14:paraId="336D99E5">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71AD660">
            <w:pPr>
              <w:spacing w:line="240" w:lineRule="auto"/>
              <w:jc w:val="center"/>
              <w:rPr>
                <w:b/>
                <w:color w:val="000000"/>
                <w:sz w:val="16"/>
                <w:szCs w:val="16"/>
                <w:highlight w:val="yellow"/>
              </w:rPr>
            </w:pPr>
            <w:r>
              <w:rPr>
                <w:bCs/>
                <w:color w:val="000000"/>
                <w:sz w:val="16"/>
                <w:szCs w:val="16"/>
              </w:rPr>
              <w:t>31</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9EDD6B">
            <w:pPr>
              <w:spacing w:line="240" w:lineRule="auto"/>
              <w:rPr>
                <w:b/>
                <w:sz w:val="16"/>
                <w:szCs w:val="16"/>
              </w:rPr>
            </w:pPr>
            <w:r>
              <w:rPr>
                <w:bCs/>
                <w:sz w:val="16"/>
                <w:szCs w:val="16"/>
              </w:rPr>
              <w:t>RUA BARÃO DO RIO BRANCO X AV. FREI SERVÁCIO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122B8">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BDC64F">
            <w:pPr>
              <w:spacing w:line="240" w:lineRule="auto"/>
              <w:jc w:val="center"/>
              <w:rPr>
                <w:b/>
                <w:color w:val="000000"/>
                <w:sz w:val="16"/>
                <w:szCs w:val="16"/>
                <w:highlight w:val="yellow"/>
              </w:rPr>
            </w:pPr>
            <w:r>
              <w:rPr>
                <w:bCs/>
                <w:color w:val="000000"/>
                <w:sz w:val="16"/>
                <w:szCs w:val="16"/>
              </w:rPr>
              <w:t>3</w:t>
            </w:r>
          </w:p>
        </w:tc>
      </w:tr>
      <w:tr w14:paraId="3D529E4E">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EB5ADD4">
            <w:pPr>
              <w:spacing w:line="240" w:lineRule="auto"/>
              <w:jc w:val="center"/>
              <w:rPr>
                <w:b/>
                <w:color w:val="000000"/>
                <w:sz w:val="16"/>
                <w:szCs w:val="16"/>
                <w:highlight w:val="yellow"/>
              </w:rPr>
            </w:pPr>
            <w:r>
              <w:rPr>
                <w:bCs/>
                <w:color w:val="000000"/>
                <w:sz w:val="16"/>
                <w:szCs w:val="16"/>
              </w:rPr>
              <w:t>32</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DA4401">
            <w:pPr>
              <w:spacing w:line="240" w:lineRule="auto"/>
              <w:rPr>
                <w:b/>
                <w:sz w:val="16"/>
                <w:szCs w:val="16"/>
              </w:rPr>
            </w:pPr>
            <w:r>
              <w:rPr>
                <w:bCs/>
                <w:sz w:val="16"/>
                <w:szCs w:val="16"/>
              </w:rPr>
              <w:t>RUA OTÁVIO PITALUGA X AV. FREI SERVÁCIO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6FB7B9">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E81AA3">
            <w:pPr>
              <w:spacing w:line="240" w:lineRule="auto"/>
              <w:jc w:val="center"/>
              <w:rPr>
                <w:b/>
                <w:color w:val="000000"/>
                <w:sz w:val="16"/>
                <w:szCs w:val="16"/>
                <w:highlight w:val="yellow"/>
              </w:rPr>
            </w:pPr>
            <w:r>
              <w:rPr>
                <w:bCs/>
                <w:color w:val="000000"/>
                <w:sz w:val="16"/>
                <w:szCs w:val="16"/>
              </w:rPr>
              <w:t>2</w:t>
            </w:r>
          </w:p>
        </w:tc>
      </w:tr>
      <w:tr w14:paraId="41C0415E">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58FEDEE">
            <w:pPr>
              <w:spacing w:line="240" w:lineRule="auto"/>
              <w:jc w:val="center"/>
              <w:rPr>
                <w:b/>
                <w:color w:val="000000"/>
                <w:sz w:val="16"/>
                <w:szCs w:val="16"/>
                <w:highlight w:val="yellow"/>
              </w:rPr>
            </w:pPr>
            <w:r>
              <w:rPr>
                <w:bCs/>
                <w:color w:val="000000"/>
                <w:sz w:val="16"/>
                <w:szCs w:val="16"/>
              </w:rPr>
              <w:t>33</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A783E7">
            <w:pPr>
              <w:spacing w:line="240" w:lineRule="auto"/>
              <w:rPr>
                <w:b/>
                <w:sz w:val="16"/>
                <w:szCs w:val="16"/>
              </w:rPr>
            </w:pPr>
            <w:r>
              <w:rPr>
                <w:bCs/>
                <w:sz w:val="16"/>
                <w:szCs w:val="16"/>
              </w:rPr>
              <w:t>AV. TIRADENTES X RUA BARÃO DO RIO BRANCO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7BF07D">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C5AE66">
            <w:pPr>
              <w:spacing w:line="240" w:lineRule="auto"/>
              <w:jc w:val="center"/>
              <w:rPr>
                <w:b/>
                <w:color w:val="000000"/>
                <w:sz w:val="16"/>
                <w:szCs w:val="16"/>
                <w:highlight w:val="yellow"/>
              </w:rPr>
            </w:pPr>
            <w:r>
              <w:rPr>
                <w:bCs/>
                <w:color w:val="000000"/>
                <w:sz w:val="16"/>
                <w:szCs w:val="16"/>
              </w:rPr>
              <w:t>2</w:t>
            </w:r>
          </w:p>
        </w:tc>
      </w:tr>
      <w:tr w14:paraId="40EE67D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798837A">
            <w:pPr>
              <w:spacing w:line="240" w:lineRule="auto"/>
              <w:jc w:val="center"/>
              <w:rPr>
                <w:b/>
                <w:color w:val="000000"/>
                <w:sz w:val="16"/>
                <w:szCs w:val="16"/>
                <w:highlight w:val="yellow"/>
              </w:rPr>
            </w:pPr>
            <w:r>
              <w:rPr>
                <w:bCs/>
                <w:color w:val="000000"/>
                <w:sz w:val="16"/>
                <w:szCs w:val="16"/>
              </w:rPr>
              <w:t>34</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88803">
            <w:pPr>
              <w:spacing w:line="240" w:lineRule="auto"/>
              <w:rPr>
                <w:b/>
                <w:sz w:val="16"/>
                <w:szCs w:val="16"/>
              </w:rPr>
            </w:pPr>
            <w:r>
              <w:rPr>
                <w:bCs/>
                <w:sz w:val="16"/>
                <w:szCs w:val="16"/>
              </w:rPr>
              <w:t>RUA FERNANDO CORREIA DA COSTA X AV. PRESIDENTE KENNEDY</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868067">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F8DACB">
            <w:pPr>
              <w:spacing w:line="240" w:lineRule="auto"/>
              <w:jc w:val="center"/>
              <w:rPr>
                <w:b/>
                <w:color w:val="000000"/>
                <w:sz w:val="16"/>
                <w:szCs w:val="16"/>
                <w:highlight w:val="yellow"/>
              </w:rPr>
            </w:pPr>
            <w:r>
              <w:rPr>
                <w:bCs/>
                <w:color w:val="000000"/>
                <w:sz w:val="16"/>
                <w:szCs w:val="16"/>
              </w:rPr>
              <w:t>4</w:t>
            </w:r>
          </w:p>
        </w:tc>
      </w:tr>
      <w:tr w14:paraId="1403F086">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512E253">
            <w:pPr>
              <w:spacing w:line="240" w:lineRule="auto"/>
              <w:jc w:val="center"/>
              <w:rPr>
                <w:b/>
                <w:color w:val="000000"/>
                <w:sz w:val="16"/>
                <w:szCs w:val="16"/>
                <w:highlight w:val="yellow"/>
              </w:rPr>
            </w:pPr>
            <w:r>
              <w:rPr>
                <w:bCs/>
                <w:color w:val="000000"/>
                <w:sz w:val="16"/>
                <w:szCs w:val="16"/>
              </w:rPr>
              <w:t>35</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81529C">
            <w:pPr>
              <w:spacing w:line="240" w:lineRule="auto"/>
              <w:rPr>
                <w:b/>
                <w:sz w:val="16"/>
                <w:szCs w:val="16"/>
              </w:rPr>
            </w:pPr>
            <w:r>
              <w:rPr>
                <w:bCs/>
                <w:sz w:val="16"/>
                <w:szCs w:val="16"/>
              </w:rPr>
              <w:t>RUA ROSA BORRO AV. PRESIDENTE KENNEDY</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AF6F3">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F09EAB">
            <w:pPr>
              <w:spacing w:line="240" w:lineRule="auto"/>
              <w:jc w:val="center"/>
              <w:rPr>
                <w:b/>
                <w:color w:val="000000"/>
                <w:sz w:val="16"/>
                <w:szCs w:val="16"/>
                <w:highlight w:val="yellow"/>
              </w:rPr>
            </w:pPr>
            <w:r>
              <w:rPr>
                <w:bCs/>
                <w:color w:val="000000"/>
                <w:sz w:val="16"/>
                <w:szCs w:val="16"/>
              </w:rPr>
              <w:t>2</w:t>
            </w:r>
          </w:p>
        </w:tc>
      </w:tr>
      <w:tr w14:paraId="4973A0DB">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62EF574">
            <w:pPr>
              <w:spacing w:line="240" w:lineRule="auto"/>
              <w:jc w:val="center"/>
              <w:rPr>
                <w:b/>
                <w:color w:val="000000"/>
                <w:sz w:val="16"/>
                <w:szCs w:val="16"/>
                <w:highlight w:val="yellow"/>
              </w:rPr>
            </w:pPr>
            <w:r>
              <w:rPr>
                <w:bCs/>
                <w:color w:val="000000"/>
                <w:sz w:val="16"/>
                <w:szCs w:val="16"/>
              </w:rPr>
              <w:t>36</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8B6CDD">
            <w:pPr>
              <w:spacing w:line="240" w:lineRule="auto"/>
              <w:rPr>
                <w:b/>
                <w:sz w:val="16"/>
                <w:szCs w:val="16"/>
              </w:rPr>
            </w:pPr>
            <w:r>
              <w:rPr>
                <w:bCs/>
                <w:sz w:val="16"/>
                <w:szCs w:val="16"/>
              </w:rPr>
              <w:t>AV. DOM WUNIBALDO X RUA FERNANDO CORRÊA DA COSTA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DC085E">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39CCD3">
            <w:pPr>
              <w:spacing w:line="240" w:lineRule="auto"/>
              <w:jc w:val="center"/>
              <w:rPr>
                <w:b/>
                <w:color w:val="000000"/>
                <w:sz w:val="16"/>
                <w:szCs w:val="16"/>
                <w:highlight w:val="yellow"/>
              </w:rPr>
            </w:pPr>
            <w:r>
              <w:rPr>
                <w:bCs/>
                <w:color w:val="000000"/>
                <w:sz w:val="16"/>
                <w:szCs w:val="16"/>
              </w:rPr>
              <w:t>2</w:t>
            </w:r>
          </w:p>
        </w:tc>
      </w:tr>
      <w:tr w14:paraId="3082E926">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3EEC21B">
            <w:pPr>
              <w:spacing w:line="240" w:lineRule="auto"/>
              <w:jc w:val="center"/>
              <w:rPr>
                <w:b/>
                <w:color w:val="000000"/>
                <w:sz w:val="16"/>
                <w:szCs w:val="16"/>
                <w:highlight w:val="yellow"/>
              </w:rPr>
            </w:pPr>
            <w:r>
              <w:rPr>
                <w:bCs/>
                <w:color w:val="000000"/>
                <w:sz w:val="16"/>
                <w:szCs w:val="16"/>
              </w:rPr>
              <w:t>37</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9969C4">
            <w:pPr>
              <w:spacing w:line="240" w:lineRule="auto"/>
              <w:rPr>
                <w:b/>
                <w:sz w:val="16"/>
                <w:szCs w:val="16"/>
              </w:rPr>
            </w:pPr>
            <w:r>
              <w:rPr>
                <w:bCs/>
                <w:sz w:val="16"/>
                <w:szCs w:val="16"/>
              </w:rPr>
              <w:t>AV. MARECHAL RONDON X RUA BARÃO DO RIO BRANCO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7B43AA">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FCB30">
            <w:pPr>
              <w:spacing w:line="240" w:lineRule="auto"/>
              <w:jc w:val="center"/>
              <w:rPr>
                <w:b/>
                <w:color w:val="000000"/>
                <w:sz w:val="16"/>
                <w:szCs w:val="16"/>
                <w:highlight w:val="yellow"/>
              </w:rPr>
            </w:pPr>
            <w:r>
              <w:rPr>
                <w:bCs/>
                <w:color w:val="000000"/>
                <w:sz w:val="16"/>
                <w:szCs w:val="16"/>
              </w:rPr>
              <w:t>3</w:t>
            </w:r>
          </w:p>
        </w:tc>
      </w:tr>
      <w:tr w14:paraId="6173E18E">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9372242">
            <w:pPr>
              <w:spacing w:line="240" w:lineRule="auto"/>
              <w:jc w:val="center"/>
              <w:rPr>
                <w:b/>
                <w:color w:val="000000"/>
                <w:sz w:val="16"/>
                <w:szCs w:val="16"/>
                <w:highlight w:val="yellow"/>
              </w:rPr>
            </w:pPr>
            <w:r>
              <w:rPr>
                <w:bCs/>
                <w:color w:val="000000"/>
                <w:sz w:val="16"/>
                <w:szCs w:val="16"/>
              </w:rPr>
              <w:t>38</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2A1472">
            <w:pPr>
              <w:spacing w:line="240" w:lineRule="auto"/>
              <w:rPr>
                <w:b/>
                <w:sz w:val="16"/>
                <w:szCs w:val="16"/>
              </w:rPr>
            </w:pPr>
            <w:r>
              <w:rPr>
                <w:bCs/>
                <w:sz w:val="16"/>
                <w:szCs w:val="16"/>
              </w:rPr>
              <w:t>RUA BARÃO DO RIO BRANCO X AV. MARECHAL RONDON</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5F246B">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04EFE5">
            <w:pPr>
              <w:spacing w:line="240" w:lineRule="auto"/>
              <w:jc w:val="center"/>
              <w:rPr>
                <w:b/>
                <w:color w:val="000000"/>
                <w:sz w:val="16"/>
                <w:szCs w:val="16"/>
                <w:highlight w:val="yellow"/>
              </w:rPr>
            </w:pPr>
            <w:r>
              <w:rPr>
                <w:bCs/>
                <w:color w:val="000000"/>
                <w:sz w:val="16"/>
                <w:szCs w:val="16"/>
              </w:rPr>
              <w:t>2</w:t>
            </w:r>
          </w:p>
        </w:tc>
      </w:tr>
      <w:tr w14:paraId="7DF0B1F6">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5A0FBB9">
            <w:pPr>
              <w:spacing w:line="240" w:lineRule="auto"/>
              <w:jc w:val="center"/>
              <w:rPr>
                <w:b/>
                <w:color w:val="000000"/>
                <w:sz w:val="16"/>
                <w:szCs w:val="16"/>
                <w:highlight w:val="yellow"/>
              </w:rPr>
            </w:pPr>
            <w:r>
              <w:rPr>
                <w:bCs/>
                <w:color w:val="000000"/>
                <w:sz w:val="16"/>
                <w:szCs w:val="16"/>
              </w:rPr>
              <w:t>39</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E5BAB3">
            <w:pPr>
              <w:spacing w:line="240" w:lineRule="auto"/>
              <w:rPr>
                <w:b/>
                <w:sz w:val="16"/>
                <w:szCs w:val="16"/>
              </w:rPr>
            </w:pPr>
            <w:r>
              <w:rPr>
                <w:bCs/>
                <w:sz w:val="16"/>
                <w:szCs w:val="16"/>
              </w:rPr>
              <w:t>RUA JOSÉ BARRIGA X AV. FREI SERVÁCIO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3864B5">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7C3B04">
            <w:pPr>
              <w:spacing w:line="240" w:lineRule="auto"/>
              <w:jc w:val="center"/>
              <w:rPr>
                <w:b/>
                <w:color w:val="000000"/>
                <w:sz w:val="16"/>
                <w:szCs w:val="16"/>
                <w:highlight w:val="yellow"/>
              </w:rPr>
            </w:pPr>
            <w:r>
              <w:rPr>
                <w:bCs/>
                <w:color w:val="000000"/>
                <w:sz w:val="16"/>
                <w:szCs w:val="16"/>
              </w:rPr>
              <w:t>3</w:t>
            </w:r>
          </w:p>
        </w:tc>
      </w:tr>
      <w:tr w14:paraId="4F2C45FC">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5E81C56">
            <w:pPr>
              <w:spacing w:line="240" w:lineRule="auto"/>
              <w:jc w:val="center"/>
              <w:rPr>
                <w:b/>
                <w:color w:val="000000"/>
                <w:sz w:val="16"/>
                <w:szCs w:val="16"/>
                <w:highlight w:val="yellow"/>
              </w:rPr>
            </w:pPr>
            <w:r>
              <w:rPr>
                <w:bCs/>
                <w:color w:val="000000"/>
                <w:sz w:val="16"/>
                <w:szCs w:val="16"/>
              </w:rPr>
              <w:t>40</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3CD5D">
            <w:pPr>
              <w:spacing w:line="240" w:lineRule="auto"/>
              <w:rPr>
                <w:b/>
                <w:sz w:val="16"/>
                <w:szCs w:val="16"/>
              </w:rPr>
            </w:pPr>
            <w:r>
              <w:rPr>
                <w:bCs/>
                <w:sz w:val="16"/>
                <w:szCs w:val="16"/>
              </w:rPr>
              <w:t>RUA PRES. CASTELO BRANCO X RUA JOSÉ BARRIGA</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3A0C27">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F103D2">
            <w:pPr>
              <w:spacing w:line="240" w:lineRule="auto"/>
              <w:jc w:val="center"/>
              <w:rPr>
                <w:b/>
                <w:color w:val="000000"/>
                <w:sz w:val="16"/>
                <w:szCs w:val="16"/>
                <w:highlight w:val="yellow"/>
              </w:rPr>
            </w:pPr>
            <w:r>
              <w:rPr>
                <w:bCs/>
                <w:color w:val="000000"/>
                <w:sz w:val="16"/>
                <w:szCs w:val="16"/>
              </w:rPr>
              <w:t>4</w:t>
            </w:r>
          </w:p>
        </w:tc>
      </w:tr>
      <w:tr w14:paraId="78C2F16E">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085C550">
            <w:pPr>
              <w:spacing w:line="240" w:lineRule="auto"/>
              <w:jc w:val="center"/>
              <w:rPr>
                <w:b/>
                <w:color w:val="000000"/>
                <w:sz w:val="16"/>
                <w:szCs w:val="16"/>
                <w:highlight w:val="yellow"/>
              </w:rPr>
            </w:pPr>
            <w:r>
              <w:rPr>
                <w:bCs/>
                <w:color w:val="000000"/>
                <w:sz w:val="16"/>
                <w:szCs w:val="16"/>
              </w:rPr>
              <w:t>41</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EF7610">
            <w:pPr>
              <w:spacing w:line="240" w:lineRule="auto"/>
              <w:rPr>
                <w:b/>
                <w:sz w:val="16"/>
                <w:szCs w:val="16"/>
              </w:rPr>
            </w:pPr>
            <w:r>
              <w:rPr>
                <w:bCs/>
                <w:sz w:val="16"/>
                <w:szCs w:val="16"/>
              </w:rPr>
              <w:t>RUA JOSÉ BARRIGA X RUA PRES. CASTELO BRANCO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912226">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D7D994">
            <w:pPr>
              <w:spacing w:line="240" w:lineRule="auto"/>
              <w:jc w:val="center"/>
              <w:rPr>
                <w:b/>
                <w:color w:val="000000"/>
                <w:sz w:val="16"/>
                <w:szCs w:val="16"/>
                <w:highlight w:val="yellow"/>
              </w:rPr>
            </w:pPr>
            <w:r>
              <w:rPr>
                <w:bCs/>
                <w:color w:val="000000"/>
                <w:sz w:val="16"/>
                <w:szCs w:val="16"/>
              </w:rPr>
              <w:t>2</w:t>
            </w:r>
          </w:p>
        </w:tc>
      </w:tr>
      <w:tr w14:paraId="2F2AAC7E">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9B51407">
            <w:pPr>
              <w:spacing w:line="240" w:lineRule="auto"/>
              <w:jc w:val="center"/>
              <w:rPr>
                <w:b/>
                <w:color w:val="000000"/>
                <w:sz w:val="16"/>
                <w:szCs w:val="16"/>
                <w:highlight w:val="yellow"/>
              </w:rPr>
            </w:pPr>
            <w:r>
              <w:rPr>
                <w:bCs/>
                <w:color w:val="000000"/>
                <w:sz w:val="16"/>
                <w:szCs w:val="16"/>
              </w:rPr>
              <w:t>42</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CE2F2D">
            <w:pPr>
              <w:spacing w:line="240" w:lineRule="auto"/>
              <w:rPr>
                <w:b/>
                <w:sz w:val="16"/>
                <w:szCs w:val="16"/>
              </w:rPr>
            </w:pPr>
            <w:r>
              <w:rPr>
                <w:bCs/>
                <w:sz w:val="16"/>
                <w:szCs w:val="16"/>
              </w:rPr>
              <w:t>AV. GOIANIA X AV. PLINIO AGUIAR C/B</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F4BB00">
            <w:pPr>
              <w:spacing w:line="240" w:lineRule="auto"/>
              <w:jc w:val="center"/>
              <w:rPr>
                <w:b/>
                <w:sz w:val="16"/>
                <w:szCs w:val="16"/>
              </w:rPr>
            </w:pPr>
            <w:r>
              <w:rPr>
                <w:bCs/>
                <w:sz w:val="16"/>
                <w:szCs w:val="16"/>
              </w:rPr>
              <w:t>AVANÇO DE SEMÁFORO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B6A6D3">
            <w:pPr>
              <w:spacing w:line="240" w:lineRule="auto"/>
              <w:jc w:val="center"/>
              <w:rPr>
                <w:b/>
                <w:color w:val="000000"/>
                <w:sz w:val="16"/>
                <w:szCs w:val="16"/>
                <w:highlight w:val="yellow"/>
              </w:rPr>
            </w:pPr>
            <w:r>
              <w:rPr>
                <w:bCs/>
                <w:color w:val="000000"/>
                <w:sz w:val="16"/>
                <w:szCs w:val="16"/>
              </w:rPr>
              <w:t>1</w:t>
            </w:r>
          </w:p>
        </w:tc>
      </w:tr>
    </w:tbl>
    <w:p w14:paraId="35ABCC84">
      <w:pPr>
        <w:widowControl w:val="0"/>
        <w:ind w:right="26"/>
        <w:jc w:val="both"/>
        <w:rPr>
          <w:rFonts w:ascii="Aptos" w:hAnsi="Aptos" w:eastAsia="Aptos" w:cs="Aptos"/>
          <w:sz w:val="24"/>
          <w:szCs w:val="24"/>
        </w:rPr>
      </w:pPr>
    </w:p>
    <w:p w14:paraId="1AD1C18B">
      <w:pPr>
        <w:pStyle w:val="3"/>
        <w:jc w:val="both"/>
        <w:rPr>
          <w:rFonts w:ascii="Arial" w:hAnsi="Arial" w:eastAsia="Arial" w:cs="Arial"/>
          <w:b/>
          <w:color w:val="000000"/>
          <w:sz w:val="22"/>
          <w:szCs w:val="22"/>
        </w:rPr>
      </w:pPr>
      <w:r>
        <w:rPr>
          <w:rFonts w:ascii="Arial" w:hAnsi="Arial" w:eastAsia="Arial" w:cs="Arial"/>
          <w:b/>
          <w:color w:val="000000"/>
          <w:sz w:val="22"/>
          <w:szCs w:val="22"/>
        </w:rPr>
        <w:t>11. Contratação de empresa especializada para operacionalização e gerenciamento de solução de fiscalização eletrônica de trânsito – radar de velocidade fixa com LAP, através de prestação de serviços, incluso a instalação, operacionalização e a manutenção dos equipamentos, pelo prazo de 12 (doze) meses, conforme especificações técnicas.</w:t>
      </w:r>
    </w:p>
    <w:p w14:paraId="58D71EC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REQUISITOS TÉCNICOS MÍNIMOS:</w:t>
      </w:r>
    </w:p>
    <w:p w14:paraId="4FC532C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Equipamentos dotados de dispositivo registrador de imagens contra o cometimento de excesso de velocidade, com dispositivo do tipo OCR e função de videomonitoramento são equipamentos que permitem fazer o monitoramento e fiscalização eletrônica de excesso de velocidade, de  forma a permitir a detecção e registro automático de dados de fluxo viário, contemplando a leitura das placas dos veículos e seus respectivos registros fotográficos; a captação da imagem dos veículos que cometam as infrações de trânsito do tipo excesso de velocidade; o Desrespeito ao limite de velocidade, bem como serem dotados de câmeras panorâmicas que permitem o monitoramento por vídeo, em tempo real, diretamente na CCO (Central de Controle Operacional localizada na Prefeitura Municipal de Rondonópolis). São usados em locais onde o excesso de velocidade apresentam se como grandes fatores de risco para os condutores e pedestres e devem atender a todos os requisitos constantes nas Normas, Resoluções, Deliberações, Portarias, regulamentações e legislações vigentes, sejam elas o CTB, CONTRAN, SENATRAN, INMETRO ou do contratante, apresentando as seguintes características:</w:t>
      </w:r>
    </w:p>
    <w:p w14:paraId="5B39DEB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estar homologado e atender a todos os critérios listados na Portaria 158 de 31 de março de 2022 do Inmetro;</w:t>
      </w:r>
    </w:p>
    <w:p w14:paraId="5623392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e demais itens agregados ao mesmo deverão atender na íntegra a Resolução nº 798/2020 do CONTRAN, PORTARIA SENATRAN nº 16/2004, bem como as demais normas legais e regulamentações vigentes do Código de Trânsito Brasileiro, SENATRAN, CONTRAN e INMETRO.</w:t>
      </w:r>
    </w:p>
    <w:p w14:paraId="205458F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sistema de detecção dos veículos através de sensores do tipo não intrusivos doppler com sensor doppler, utilizando 01 (um) sensor para cada faixa de rolamento monitorada, de forma que uma eventual falha em um dos sensores não afete o funcionamento das demais faixas monitoradas;</w:t>
      </w:r>
    </w:p>
    <w:p w14:paraId="5EE7019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câmera panorâmica que permita o videomonitoramento em tempo real do local fiscalizado, através de sistema disponibilizado juntamente com a Central de Processamento e Monitoramento;</w:t>
      </w:r>
    </w:p>
    <w:p w14:paraId="5F348D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sistema de registro automático de dados e imagens, um para cada faixa de rolamento monitorada, dos veículos que cometerem as infrações do tipo excesso de velocidade, com os seguintes enquadramentos:</w:t>
      </w:r>
    </w:p>
    <w:p w14:paraId="7E3438B8">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Código: 74550 – Artigo 218*I - Transitar em velocidade superior à máxima permitida em até 20%.</w:t>
      </w:r>
    </w:p>
    <w:p w14:paraId="3470E35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74630 – Artigo 218*II - Transitar em velocidade superior à máxima permitida em mais de 20% até 50%.</w:t>
      </w:r>
    </w:p>
    <w:p w14:paraId="69CDEA5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74710 – Artigo 218*III - Transitar em velocidade superior à máxima permitida em mais de 50%.</w:t>
      </w:r>
    </w:p>
    <w:p w14:paraId="1BA45A8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enviar de forma on-line os registros de infrações capturados para o sistema de Processamento de infrações que deverá estar disponibilizado juntamente com a Central de Processamento e Monitoramento;</w:t>
      </w:r>
    </w:p>
    <w:p w14:paraId="0B32EDF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sistema de captura e armazenamento dos dados estatísticos gerados pelos veículos infratores e não infratores visando à geração de relatórios estatísticos, com envio on-line para o sistema de Processamento de infrações;</w:t>
      </w:r>
    </w:p>
    <w:p w14:paraId="3BDF607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sistema de OCR “Optical Character Recognition”, permitindo a leitura automática das placas de todos os veículos, com envio em tempo real para o Sistema de Monitoramento de Placas de veículos que deverá estar disponibilizado juntamente com a Central de Processamento e Monitoramento;</w:t>
      </w:r>
    </w:p>
    <w:p w14:paraId="038573C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licenças OCRs individuais, no mínimo, para cada equipamento;</w:t>
      </w:r>
    </w:p>
    <w:p w14:paraId="31B66C8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envio dos dados e imagens capturados pelo sistema de OCR do equipamento para o Sistema de Monitoramento de OCR deverá ser realizado em, no máximo, 10 (dez) segundos após a passagem do veículo pelo local monitorado;</w:t>
      </w:r>
    </w:p>
    <w:p w14:paraId="3E6D965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disponibilizar imagens panorâmicas para videomonitoramento em tempo real, através de canal de vídeo RSTP para integração com outras plataformas, com taxa de atualização mínima de 15 FPS e resolução de 2MP.</w:t>
      </w:r>
    </w:p>
    <w:p w14:paraId="0D2C41C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deverão possuir câmeras de captura independentes para cada uma das faixas de trânsito fiscalizadas. A fiscalização eletrônica deverá ocorrer de forma independente por faixa e eventuais problemas em uma determinada câmera não poderão afetar a operação das demais. Estas câmeras deverão capturar a imagem em zoom para cada faixa de rolamento, devendo ser multicromáticas durante o dia e podendo ser em preto e branco durante à noite e em condições de luminosidade ruim;</w:t>
      </w:r>
    </w:p>
    <w:p w14:paraId="75E4F49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Para cada infração deverão ser apresentadas duas imagens, uma imagem focada na placa do veículo e outra imagem panorâmica mostrando o veículo e seu entorno. As imagens capturadas deverão possuir uma resolução mínima de 2MP;</w:t>
      </w:r>
    </w:p>
    <w:p w14:paraId="6B87472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gerar imagens digitais que possibilitem ao analista, a olho nu, identificar o veículo infrator, os caracteres alfanuméricos da placa, sua marca, modelo e espécie;</w:t>
      </w:r>
    </w:p>
    <w:p w14:paraId="3FC0788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coleta das imagens e dos dados gerados pelo equipamento deverá ser on-line. Eventualmente, quando da indisponibilidade do serviço de conexão, a contratada poderá realizar a coleta de forma manual, em no máximo 72 horas a contar da data de envio do último pacote de informações.</w:t>
      </w:r>
    </w:p>
    <w:p w14:paraId="55DDC90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as infrações relacionadas ao excesso de velocidade em qualquer condição adversas;</w:t>
      </w:r>
    </w:p>
    <w:p w14:paraId="3875415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circuito de proteção contra descargas atmosféricas no sistema de entrada de energia;</w:t>
      </w:r>
    </w:p>
    <w:p w14:paraId="0559A5B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Funcionar com alimentação elétrica de corrente alternada, 60 Hz, e tensão de entrada de 220 Volts e conter obrigatoriamente o sistema de aterramento;</w:t>
      </w:r>
    </w:p>
    <w:p w14:paraId="5B372CE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Retornar à operação normal, automaticamente, em caso de ocorrência do desarme por interrupção de energia elétrica. Quando ocorrer o desarme, o equipamento deverá conservar os dados, imagens e o relógio interno por período de até 48 horas, detectável e expresso em relatório posterior ao evento;</w:t>
      </w:r>
    </w:p>
    <w:p w14:paraId="6EC2886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Deverá possuir “nobreak” com capacidade mínima de 15 minutos de funcionamento em caso de falta de energia. O sistema deve prever desligamento de forma correta, a fim de que não haja possibilidade de que os dados armazenados sejam corrompidos pelo desligamento repentino de energia. Ao retornar o fornecimento normal de energia elétrica, o sistema deverá iniciar automaticamente o funcionamento.</w:t>
      </w:r>
    </w:p>
    <w:p w14:paraId="37F9077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controles eletrônicos através de microprocessador;</w:t>
      </w:r>
    </w:p>
    <w:p w14:paraId="679FD42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permitir sincronismo de seu relógio de tempo real (RTC) interno com o horário de Brasília, não permitindo erros maiores do que mais ou menos 1 (um) segundo. Este relógio deverá possuir bateria de “backup” de longa duração (dois anos no mínimo) de maneira a não ser afetado por eventuais interrupções no fornecimento de energia elétrica.</w:t>
      </w:r>
    </w:p>
    <w:p w14:paraId="799B461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estrutura externa resistente a vandalismo e intempéries, com dispositivos de vedação que impeçam a entrada de poeira e umidade, devidamente tratada contra oxidação galvânica e eletrolítica, possuindo resistência estrutural para suportar os esforços atuantes devidos à ação de ventos.</w:t>
      </w:r>
    </w:p>
    <w:p w14:paraId="54DCE3B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dispositivo de estabilização de energia, com proteção contra variações de tensão ou corrente;</w:t>
      </w:r>
    </w:p>
    <w:p w14:paraId="39185A4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Permitir a captura de imagens de veículos de qualquer porte, tamanho, peso, altura, largura e comprimento, contido no Código Brasileiro de Trânsito - CTB ou em outras normas regulamentadoras vigentes;</w:t>
      </w:r>
    </w:p>
    <w:p w14:paraId="764BAF6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registros fotográficos dos veículos deverão ser numerados sequencialmente no momento da sua detecção.</w:t>
      </w:r>
    </w:p>
    <w:p w14:paraId="5095E8C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Usar sistema de iluminadores antiofuscantes imperceptíveis ao olho humano para possibilitar o funcionamento dos medidores em qualquer condição de iluminação natural de dia ou de noite, permitindo o cadastramento da placa do veículo;</w:t>
      </w:r>
    </w:p>
    <w:p w14:paraId="2210D23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capturadas deverão possuir uma resolução mínima de 2MP;</w:t>
      </w:r>
    </w:p>
    <w:p w14:paraId="7A5D8EB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padrão de arquivamento das imagens deverá ser em extensão compatível com o existente no mercado, sem prejuízo a identificação do veículo e outras informações;</w:t>
      </w:r>
    </w:p>
    <w:p w14:paraId="7238597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Detectar falha em qualquer um dos módulos do equipamento gerando arquivo de log para posterior consulta;</w:t>
      </w:r>
    </w:p>
    <w:p w14:paraId="76CE295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Cada equipamento deverá ser capaz de registrar e armazenar no mínimo uma imagem por segundo por faixa eletronicamente controlada, em, no mínimo, 4 (quatro) faixas de trânsito, sejam elas no mesmo sentido ou em sentido opostos (de acordo com as características de cada local proposto). Ocorrendo infrações simultaneamente em faixas distintas, o equipamento deverá registrar tais infrações simultaneamente;</w:t>
      </w:r>
    </w:p>
    <w:p w14:paraId="5E14BE1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ser resistentes a vandalismo, vibrações externas provenientes do tráfego intenso, impactos, intempéries, altas e baixas temperaturas, com dispositivos de vedação que impeçam a entrada de poeira e umidade, devidamente tratada contra oxidação galvânica e eletrolítica, possuindo resistência estrutural para suportar os esforços atuantes devidos à ação de ventos;</w:t>
      </w:r>
    </w:p>
    <w:p w14:paraId="5CCDE10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possibilitar o registro das imagens dos veículos pela placa traseira;</w:t>
      </w:r>
    </w:p>
    <w:p w14:paraId="613DE35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permitir a classificação dos veículos em, no mínimo, três categorias: veículo de pequeno porte, veículo de médio porte e veículo de grande porte;</w:t>
      </w:r>
    </w:p>
    <w:p w14:paraId="1E4763B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 registrar dados referentes à passagem de cada veículo quantificando e armazenando em memória o número de veículos que passam com os dados relativos ao horário dos mesmos, apresentando nas imagens registradas, no mínimo, os seguintes dados:</w:t>
      </w:r>
    </w:p>
    <w:p w14:paraId="33CA090D">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(dia/mês/ano);</w:t>
      </w:r>
    </w:p>
    <w:p w14:paraId="68CA04D2">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(hora/ minuto/ segundo);</w:t>
      </w:r>
    </w:p>
    <w:p w14:paraId="2927E8F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(código identificador do local);</w:t>
      </w:r>
    </w:p>
    <w:p w14:paraId="7B215585">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da faixa de rolamento;</w:t>
      </w:r>
    </w:p>
    <w:p w14:paraId="48DAD0F1">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Placa de veículo;</w:t>
      </w:r>
    </w:p>
    <w:p w14:paraId="0D8E90A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Registrada.</w:t>
      </w:r>
    </w:p>
    <w:p w14:paraId="315148F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as imagens de cada infração, juntamente com os seguintes dados:</w:t>
      </w:r>
    </w:p>
    <w:p w14:paraId="1668F8D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pPr>
      <w:r>
        <w:rPr>
          <w:color w:val="000000"/>
        </w:rPr>
        <w:t>Infrações de velocidade:</w:t>
      </w:r>
    </w:p>
    <w:p w14:paraId="541ED9B2">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da infração em dia, mês e ano (DD/MM/AAAA);</w:t>
      </w:r>
    </w:p>
    <w:p w14:paraId="3E926518">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com hora, minuto, segundo (hh:mm:ss);</w:t>
      </w:r>
    </w:p>
    <w:p w14:paraId="113D24FC">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de operação;</w:t>
      </w:r>
    </w:p>
    <w:p w14:paraId="71C0942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para identificação do equipamento;</w:t>
      </w:r>
    </w:p>
    <w:p w14:paraId="0400E71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Data da Aferição: (DD/MM/AAAA);</w:t>
      </w:r>
    </w:p>
    <w:p w14:paraId="31AD993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Faixa de rolamento monitorada;</w:t>
      </w:r>
    </w:p>
    <w:p w14:paraId="6BDCDB7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regulamentada, em km/h;</w:t>
      </w:r>
    </w:p>
    <w:p w14:paraId="12DBDB9E">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medida, em km/h;</w:t>
      </w:r>
    </w:p>
    <w:p w14:paraId="1784F43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sequencial do registro;</w:t>
      </w:r>
    </w:p>
    <w:p w14:paraId="6299EE8B">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do Enquadramento;</w:t>
      </w:r>
    </w:p>
    <w:p w14:paraId="46614168">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Descrição do Enquadramento.</w:t>
      </w:r>
    </w:p>
    <w:p w14:paraId="089830A7">
      <w:pPr>
        <w:pStyle w:val="72"/>
        <w:numPr>
          <w:ilvl w:val="0"/>
          <w:numId w:val="16"/>
        </w:numPr>
      </w:pPr>
      <w:r>
        <w:t>Operar na faixa de 20 a 280 km/h.</w:t>
      </w:r>
    </w:p>
    <w:p w14:paraId="5E5777BA">
      <w:pPr>
        <w:pBdr>
          <w:top w:val="none" w:color="auto" w:sz="0" w:space="0"/>
          <w:left w:val="none" w:color="auto" w:sz="0" w:space="0"/>
          <w:bottom w:val="none" w:color="auto" w:sz="0" w:space="0"/>
          <w:right w:val="none" w:color="auto" w:sz="0" w:space="0"/>
          <w:between w:val="none" w:color="auto" w:sz="0" w:space="0"/>
        </w:pBdr>
        <w:spacing w:line="230" w:lineRule="auto"/>
        <w:ind w:left="722" w:right="2"/>
        <w:jc w:val="both"/>
      </w:pPr>
    </w:p>
    <w:p w14:paraId="1C1716B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Demais dados que permitam a melhor identificação do veículo infrator e da infração cometida, a propiciar a pronta e perfeita lavratura de Auto de Infração de Trânsito nos termos da Lei Federal n. 9.503/97 e alterações, Resoluções do CONTRAN e Portarias do SENATRAN.</w:t>
      </w:r>
    </w:p>
    <w:p w14:paraId="3CD00FF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permitir a transferência de dados (fluxos e imagens dos veículos infratores), de forma on-line entre os equipamentos e a Central de Controle Operacional - CCO, através de rede de fibra óptica dedicada para tal transmissão. Em caso de falha na transmissão dos dados, deverão ser armazenados, para posterior envio remoto para processamento, auditoria e envio dos Autos;</w:t>
      </w:r>
    </w:p>
    <w:p w14:paraId="1501AFF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possibilitar, sempre que o contratante desejar, a entrada em funcionamento em horário programado;</w:t>
      </w:r>
    </w:p>
    <w:p w14:paraId="7CC7FE1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Cada equipamento deverá ser acompanhado de seu respectivo Manual de Operação, em português;</w:t>
      </w:r>
    </w:p>
    <w:p w14:paraId="1F6B285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realizar levantamentos estatístico, volumétrico e classificatório de todos os veículos que passarem em por sua área de detecção;</w:t>
      </w:r>
    </w:p>
    <w:p w14:paraId="6CF6B0B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Permitir a contagem de tráfego qualitativa e a emissão de relatórios na Central, de acordo com os seguintes requisitos:</w:t>
      </w:r>
    </w:p>
    <w:p w14:paraId="4EE6885E">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a) Contagem quantitativa de tráfego de todos os veículos a cada 15 minutos e por dia fornecendo o volume diário médio (VDM) que transita no local;</w:t>
      </w:r>
    </w:p>
    <w:p w14:paraId="7D0A4BFF">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b) Registro da velocidade média de todos os veículos a cada 15 minutos e por dia, por faixa monitorada;</w:t>
      </w:r>
    </w:p>
    <w:p w14:paraId="0F126B47">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 Listagem de veículos infratores X placas; infratores X categorias; infratores X espécies; infratores X tipos;</w:t>
      </w:r>
    </w:p>
    <w:p w14:paraId="50AA3D2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 Listagem de veículos organizados por data e horário de passagem, vinculados a leitura da placa e a velocidade de passagem;</w:t>
      </w:r>
    </w:p>
    <w:p w14:paraId="2DF93AD7">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e) Número de veículos infratores por local, hora, dia, mês e ano;</w:t>
      </w:r>
    </w:p>
    <w:p w14:paraId="4D5327FD">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 Relatórios estatísticos de multas por enquadramento e por equipamento, bem como geração de gráficos.</w:t>
      </w:r>
    </w:p>
    <w:p w14:paraId="0A32059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no momento de sua captura, devem ser armazenadas criptografadas por algoritmo reconhecidamente seguro, comprovado através de laudo de instituições privadas ou públicas, fundações de pesquisas, etc, nacionais ou internacionais, que impeça qualquer tentativa de adulteração;</w:t>
      </w:r>
    </w:p>
    <w:p w14:paraId="3C0DC5F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coletadas em campo somente poderão ser visualizadas após o processo de descriptografia, o qual deverá ocorrer nas dependências da CONTRATANTE. Somente os computadores destinados ao processamento e consistência das imagens deverão possuir o respectivo software de descriptografia (Central de Processamento). Somente as pessoas autorizadas pela CONTRATANTE, poderão utilizar o software de descriptografia, mediante o uso de senha pessoal e restrita.</w:t>
      </w:r>
    </w:p>
    <w:p w14:paraId="7770EA4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empresa deverá estar atualizada em termos de inovações tecnológicas e legais acerca do objeto deste edital afim de que os processos sejam mais dinâmicos e modernizados, no que tange o processamento e qualidade do serviço e adequados à legislação específica;</w:t>
      </w:r>
    </w:p>
    <w:p w14:paraId="41D8733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registros efetuados pelo equipamento devem permitir a elaboração e impressão de Autos de Infração informatizados, a partir dos registros/imagens obtidos, compatível com o sistema do DETRAN/MT;</w:t>
      </w:r>
    </w:p>
    <w:p w14:paraId="27C8111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de modo contínuo, veículos que trafegam em sequência, em situações de infração em todas as faixas monitoradas.</w:t>
      </w:r>
    </w:p>
    <w:p w14:paraId="4143931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Apresentar índice de aproveitamento das imagens válidas de no mínimo 90% (noventa por cento) para imagens diurnas e, 85% (oitenta e cinco por cento) para imagens noturnas;</w:t>
      </w:r>
    </w:p>
    <w:p w14:paraId="586EB1F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Para fins de aproveitamento serão desconsiderados veículos sem placas, com placas demasiadamente sujas ou amassadas, placas encobertas ou fora do padrão de placas do Código de Trânsito Brasileiro e pelo Mercosul.</w:t>
      </w:r>
    </w:p>
    <w:p w14:paraId="29AF58E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 Deverá possuir dispositivo para autodiagnostico, ou seja, periodicamente o sistema verificará o funcionamento dos componentes e alertará a central, de forma remota e instantânea, eventual falha em qualquer um dos módulos monitorados pelo equipamento;</w:t>
      </w:r>
    </w:p>
    <w:p w14:paraId="46F28AE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permitir a identificação inequívoca de qual é o veículo infrator quando for registrado mais de um veículo na mesma imagem.</w:t>
      </w:r>
    </w:p>
    <w:p w14:paraId="61C6C85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 fiscalização, denominado radar fixo, deverá utilizar tecnologia não intrusiva baseada no princípio da Tecnologia Doppler, garantindo alta precisão na medição da velocidade sem a necessidade de interferência física na via. Essa tecnologia deve proporcionar confiabilidade, resistência a interferências externas e conformidade com as normas técnicas aplicáveis, assegurando um monitoramento eficiente e seguro do tráfego.</w:t>
      </w:r>
    </w:p>
    <w:p w14:paraId="2200429E">
      <w:pPr>
        <w:rPr>
          <w:highlight w:val="cyan"/>
        </w:rPr>
      </w:pPr>
    </w:p>
    <w:p w14:paraId="7F0863C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Endereços de implantação:</w:t>
      </w:r>
    </w:p>
    <w:tbl>
      <w:tblPr>
        <w:tblStyle w:val="142"/>
        <w:tblW w:w="9209" w:type="dxa"/>
        <w:tblInd w:w="0" w:type="dxa"/>
        <w:tblLayout w:type="fixed"/>
        <w:tblCellMar>
          <w:top w:w="0" w:type="dxa"/>
          <w:left w:w="70" w:type="dxa"/>
          <w:bottom w:w="0" w:type="dxa"/>
          <w:right w:w="70" w:type="dxa"/>
        </w:tblCellMar>
      </w:tblPr>
      <w:tblGrid>
        <w:gridCol w:w="960"/>
        <w:gridCol w:w="5981"/>
        <w:gridCol w:w="1276"/>
        <w:gridCol w:w="992"/>
      </w:tblGrid>
      <w:tr w14:paraId="58306A57">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7FE925A7">
            <w:pPr>
              <w:spacing w:line="240" w:lineRule="auto"/>
              <w:jc w:val="center"/>
              <w:rPr>
                <w:b/>
                <w:color w:val="000000"/>
                <w:sz w:val="16"/>
                <w:szCs w:val="16"/>
              </w:rPr>
            </w:pPr>
            <w:r>
              <w:rPr>
                <w:b/>
                <w:color w:val="000000"/>
                <w:sz w:val="16"/>
                <w:szCs w:val="16"/>
              </w:rPr>
              <w:t>PONTO</w:t>
            </w:r>
          </w:p>
        </w:tc>
        <w:tc>
          <w:tcPr>
            <w:tcW w:w="5981" w:type="dxa"/>
            <w:tcBorders>
              <w:top w:val="single" w:color="000000" w:sz="4" w:space="0"/>
              <w:left w:val="nil"/>
              <w:bottom w:val="single" w:color="000000" w:sz="4" w:space="0"/>
              <w:right w:val="single" w:color="000000" w:sz="4" w:space="0"/>
            </w:tcBorders>
            <w:vAlign w:val="center"/>
          </w:tcPr>
          <w:p w14:paraId="2E567FD0">
            <w:pPr>
              <w:spacing w:line="240" w:lineRule="auto"/>
              <w:jc w:val="center"/>
              <w:rPr>
                <w:b/>
                <w:sz w:val="16"/>
                <w:szCs w:val="16"/>
              </w:rPr>
            </w:pPr>
            <w:r>
              <w:rPr>
                <w:b/>
                <w:sz w:val="16"/>
                <w:szCs w:val="16"/>
              </w:rPr>
              <w:t>LOCAL DE INSTALAÇÃO</w:t>
            </w:r>
          </w:p>
        </w:tc>
        <w:tc>
          <w:tcPr>
            <w:tcW w:w="1276" w:type="dxa"/>
            <w:tcBorders>
              <w:top w:val="single" w:color="000000" w:sz="4" w:space="0"/>
              <w:left w:val="nil"/>
              <w:bottom w:val="single" w:color="000000" w:sz="4" w:space="0"/>
              <w:right w:val="single" w:color="000000" w:sz="4" w:space="0"/>
            </w:tcBorders>
            <w:vAlign w:val="center"/>
          </w:tcPr>
          <w:p w14:paraId="47722A0D">
            <w:pPr>
              <w:spacing w:line="240" w:lineRule="auto"/>
              <w:jc w:val="center"/>
              <w:rPr>
                <w:b/>
                <w:sz w:val="16"/>
                <w:szCs w:val="16"/>
              </w:rPr>
            </w:pPr>
            <w:r>
              <w:rPr>
                <w:b/>
                <w:sz w:val="16"/>
                <w:szCs w:val="16"/>
              </w:rPr>
              <w:t>TIPO</w:t>
            </w:r>
          </w:p>
        </w:tc>
        <w:tc>
          <w:tcPr>
            <w:tcW w:w="992" w:type="dxa"/>
            <w:tcBorders>
              <w:top w:val="single" w:color="000000" w:sz="4" w:space="0"/>
              <w:left w:val="nil"/>
              <w:bottom w:val="single" w:color="000000" w:sz="4" w:space="0"/>
              <w:right w:val="single" w:color="000000" w:sz="4" w:space="0"/>
            </w:tcBorders>
            <w:vAlign w:val="center"/>
          </w:tcPr>
          <w:p w14:paraId="01C40640">
            <w:pPr>
              <w:spacing w:line="240" w:lineRule="auto"/>
              <w:jc w:val="center"/>
              <w:rPr>
                <w:b/>
                <w:color w:val="000000"/>
                <w:sz w:val="16"/>
                <w:szCs w:val="16"/>
              </w:rPr>
            </w:pPr>
            <w:r>
              <w:rPr>
                <w:b/>
                <w:color w:val="000000"/>
                <w:sz w:val="16"/>
                <w:szCs w:val="16"/>
              </w:rPr>
              <w:t>FAIXAS</w:t>
            </w:r>
          </w:p>
        </w:tc>
      </w:tr>
      <w:tr w14:paraId="390C05B5">
        <w:tblPrEx>
          <w:tblCellMar>
            <w:top w:w="0" w:type="dxa"/>
            <w:left w:w="70" w:type="dxa"/>
            <w:bottom w:w="0" w:type="dxa"/>
            <w:right w:w="70" w:type="dxa"/>
          </w:tblCellMar>
        </w:tblPrEx>
        <w:trPr>
          <w:trHeight w:val="415"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46C6213">
            <w:pPr>
              <w:spacing w:line="240" w:lineRule="auto"/>
              <w:jc w:val="center"/>
              <w:rPr>
                <w:b/>
                <w:color w:val="000000"/>
                <w:sz w:val="16"/>
                <w:szCs w:val="16"/>
              </w:rPr>
            </w:pPr>
          </w:p>
          <w:p w14:paraId="5CFB54E8">
            <w:pPr>
              <w:spacing w:line="240" w:lineRule="auto"/>
              <w:jc w:val="center"/>
              <w:rPr>
                <w:b/>
                <w:color w:val="000000"/>
                <w:sz w:val="16"/>
                <w:szCs w:val="16"/>
              </w:rPr>
            </w:pPr>
          </w:p>
        </w:tc>
        <w:tc>
          <w:tcPr>
            <w:tcW w:w="5981" w:type="dxa"/>
            <w:tcBorders>
              <w:top w:val="single" w:color="000000" w:sz="4" w:space="0"/>
              <w:left w:val="nil"/>
              <w:bottom w:val="single" w:color="000000" w:sz="4" w:space="0"/>
              <w:right w:val="single" w:color="000000" w:sz="4" w:space="0"/>
            </w:tcBorders>
            <w:vAlign w:val="center"/>
          </w:tcPr>
          <w:p w14:paraId="30F5389A">
            <w:pPr>
              <w:spacing w:line="240" w:lineRule="auto"/>
              <w:jc w:val="center"/>
              <w:rPr>
                <w:b/>
                <w:sz w:val="16"/>
                <w:szCs w:val="16"/>
              </w:rPr>
            </w:pPr>
            <w:r>
              <w:rPr>
                <w:b/>
                <w:sz w:val="16"/>
                <w:szCs w:val="16"/>
              </w:rPr>
              <w:t>RADAR FIXO</w:t>
            </w:r>
          </w:p>
        </w:tc>
        <w:tc>
          <w:tcPr>
            <w:tcW w:w="1276" w:type="dxa"/>
            <w:tcBorders>
              <w:top w:val="single" w:color="000000" w:sz="4" w:space="0"/>
              <w:left w:val="nil"/>
              <w:bottom w:val="single" w:color="000000" w:sz="4" w:space="0"/>
              <w:right w:val="single" w:color="000000" w:sz="4" w:space="0"/>
            </w:tcBorders>
            <w:vAlign w:val="center"/>
          </w:tcPr>
          <w:p w14:paraId="4A892A23">
            <w:pPr>
              <w:spacing w:line="240" w:lineRule="auto"/>
              <w:jc w:val="center"/>
              <w:rPr>
                <w:b/>
                <w:sz w:val="16"/>
                <w:szCs w:val="16"/>
              </w:rPr>
            </w:pPr>
          </w:p>
          <w:p w14:paraId="0B22516B">
            <w:pPr>
              <w:spacing w:line="240" w:lineRule="auto"/>
              <w:jc w:val="center"/>
              <w:rPr>
                <w:b/>
                <w:sz w:val="16"/>
                <w:szCs w:val="16"/>
              </w:rPr>
            </w:pPr>
          </w:p>
        </w:tc>
        <w:tc>
          <w:tcPr>
            <w:tcW w:w="992" w:type="dxa"/>
            <w:tcBorders>
              <w:top w:val="single" w:color="000000" w:sz="4" w:space="0"/>
              <w:left w:val="nil"/>
              <w:bottom w:val="single" w:color="000000" w:sz="4" w:space="0"/>
              <w:right w:val="single" w:color="000000" w:sz="4" w:space="0"/>
            </w:tcBorders>
            <w:vAlign w:val="center"/>
          </w:tcPr>
          <w:p w14:paraId="3E9A1B09">
            <w:pPr>
              <w:spacing w:line="240" w:lineRule="auto"/>
              <w:jc w:val="center"/>
              <w:rPr>
                <w:b/>
                <w:color w:val="000000"/>
                <w:sz w:val="16"/>
                <w:szCs w:val="16"/>
              </w:rPr>
            </w:pPr>
            <w:r>
              <w:rPr>
                <w:b/>
                <w:color w:val="000000"/>
                <w:sz w:val="16"/>
                <w:szCs w:val="16"/>
              </w:rPr>
              <w:t>100</w:t>
            </w:r>
          </w:p>
        </w:tc>
      </w:tr>
      <w:tr w14:paraId="1D3B0470">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1D43B7A3">
            <w:pPr>
              <w:spacing w:line="240" w:lineRule="auto"/>
              <w:jc w:val="center"/>
              <w:rPr>
                <w:color w:val="000000"/>
                <w:sz w:val="16"/>
                <w:szCs w:val="16"/>
              </w:rPr>
            </w:pPr>
            <w:r>
              <w:rPr>
                <w:sz w:val="16"/>
                <w:szCs w:val="16"/>
              </w:rPr>
              <w:t>43</w:t>
            </w:r>
          </w:p>
        </w:tc>
        <w:tc>
          <w:tcPr>
            <w:tcW w:w="5981" w:type="dxa"/>
            <w:tcBorders>
              <w:top w:val="single" w:color="000000" w:sz="4" w:space="0"/>
              <w:left w:val="single" w:color="000000" w:sz="4" w:space="0"/>
              <w:bottom w:val="single" w:color="000000" w:sz="4" w:space="0"/>
              <w:right w:val="single" w:color="000000" w:sz="4" w:space="0"/>
            </w:tcBorders>
            <w:vAlign w:val="center"/>
          </w:tcPr>
          <w:p w14:paraId="49E8BB9C">
            <w:pPr>
              <w:spacing w:line="240" w:lineRule="auto"/>
              <w:rPr>
                <w:rFonts w:eastAsia="Times New Roman"/>
                <w:color w:val="000000"/>
                <w:sz w:val="16"/>
                <w:szCs w:val="16"/>
              </w:rPr>
            </w:pPr>
            <w:r>
              <w:rPr>
                <w:sz w:val="16"/>
                <w:szCs w:val="16"/>
              </w:rPr>
              <w:t>AV. PRESIDENTE MÉDICI, N 4528 - BAIRRO VILA BIRIGUI</w:t>
            </w:r>
            <w:r>
              <w:rPr>
                <w:sz w:val="16"/>
                <w:szCs w:val="16"/>
              </w:rPr>
              <w:br w:type="textWrapping"/>
            </w:r>
            <w:r>
              <w:rPr>
                <w:sz w:val="16"/>
                <w:szCs w:val="16"/>
              </w:rPr>
              <w:t>[Sentido: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00722FE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37A3AD45">
            <w:pPr>
              <w:spacing w:line="240" w:lineRule="auto"/>
              <w:jc w:val="center"/>
              <w:rPr>
                <w:b/>
                <w:color w:val="000000"/>
                <w:sz w:val="16"/>
                <w:szCs w:val="16"/>
              </w:rPr>
            </w:pPr>
            <w:r>
              <w:rPr>
                <w:color w:val="000000"/>
                <w:sz w:val="16"/>
                <w:szCs w:val="16"/>
              </w:rPr>
              <w:t>3</w:t>
            </w:r>
          </w:p>
        </w:tc>
      </w:tr>
      <w:tr w14:paraId="2B388DF7">
        <w:tblPrEx>
          <w:tblCellMar>
            <w:top w:w="0" w:type="dxa"/>
            <w:left w:w="70" w:type="dxa"/>
            <w:bottom w:w="0" w:type="dxa"/>
            <w:right w:w="70" w:type="dxa"/>
          </w:tblCellMar>
        </w:tblPrEx>
        <w:trPr>
          <w:trHeight w:val="582"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7C260FDB">
            <w:pPr>
              <w:spacing w:line="240" w:lineRule="auto"/>
              <w:jc w:val="center"/>
              <w:rPr>
                <w:color w:val="000000"/>
                <w:sz w:val="16"/>
                <w:szCs w:val="16"/>
              </w:rPr>
            </w:pPr>
            <w:r>
              <w:rPr>
                <w:sz w:val="16"/>
                <w:szCs w:val="16"/>
              </w:rPr>
              <w:t>44</w:t>
            </w:r>
          </w:p>
        </w:tc>
        <w:tc>
          <w:tcPr>
            <w:tcW w:w="5981" w:type="dxa"/>
            <w:tcBorders>
              <w:top w:val="single" w:color="000000" w:sz="4" w:space="0"/>
              <w:left w:val="single" w:color="000000" w:sz="4" w:space="0"/>
              <w:bottom w:val="single" w:color="000000" w:sz="4" w:space="0"/>
              <w:right w:val="single" w:color="000000" w:sz="4" w:space="0"/>
            </w:tcBorders>
            <w:vAlign w:val="center"/>
          </w:tcPr>
          <w:p w14:paraId="5B3B3639">
            <w:pPr>
              <w:spacing w:line="240" w:lineRule="auto"/>
              <w:rPr>
                <w:rFonts w:eastAsia="Times New Roman"/>
                <w:color w:val="000000"/>
                <w:sz w:val="16"/>
                <w:szCs w:val="16"/>
              </w:rPr>
            </w:pPr>
            <w:r>
              <w:rPr>
                <w:sz w:val="16"/>
                <w:szCs w:val="16"/>
              </w:rPr>
              <w:t>AV. PRESIDENTE MÉDICI, N 4509 - BAIRRO VILA BIRIGUI</w:t>
            </w:r>
            <w:r>
              <w:rPr>
                <w:sz w:val="16"/>
                <w:szCs w:val="16"/>
              </w:rPr>
              <w:br w:type="textWrapping"/>
            </w:r>
            <w:r>
              <w:rPr>
                <w:sz w:val="16"/>
                <w:szCs w:val="16"/>
              </w:rPr>
              <w:t>[Sentido: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099C17AE">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44452210">
            <w:pPr>
              <w:spacing w:line="240" w:lineRule="auto"/>
              <w:jc w:val="center"/>
              <w:rPr>
                <w:b/>
                <w:color w:val="000000"/>
                <w:sz w:val="16"/>
                <w:szCs w:val="16"/>
              </w:rPr>
            </w:pPr>
            <w:r>
              <w:rPr>
                <w:color w:val="000000"/>
                <w:sz w:val="16"/>
                <w:szCs w:val="16"/>
              </w:rPr>
              <w:t>3</w:t>
            </w:r>
          </w:p>
        </w:tc>
      </w:tr>
      <w:tr w14:paraId="29CA1335">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3AB0184">
            <w:pPr>
              <w:spacing w:line="240" w:lineRule="auto"/>
              <w:jc w:val="center"/>
              <w:rPr>
                <w:color w:val="000000"/>
                <w:sz w:val="16"/>
                <w:szCs w:val="16"/>
              </w:rPr>
            </w:pPr>
            <w:r>
              <w:rPr>
                <w:sz w:val="16"/>
                <w:szCs w:val="16"/>
              </w:rPr>
              <w:t>45</w:t>
            </w:r>
          </w:p>
        </w:tc>
        <w:tc>
          <w:tcPr>
            <w:tcW w:w="5981" w:type="dxa"/>
            <w:tcBorders>
              <w:top w:val="single" w:color="000000" w:sz="4" w:space="0"/>
              <w:left w:val="single" w:color="000000" w:sz="4" w:space="0"/>
              <w:bottom w:val="single" w:color="000000" w:sz="4" w:space="0"/>
              <w:right w:val="single" w:color="000000" w:sz="4" w:space="0"/>
            </w:tcBorders>
            <w:vAlign w:val="center"/>
          </w:tcPr>
          <w:p w14:paraId="4265F50D">
            <w:pPr>
              <w:spacing w:line="240" w:lineRule="auto"/>
              <w:rPr>
                <w:rFonts w:eastAsia="Times New Roman"/>
                <w:color w:val="000000"/>
                <w:sz w:val="16"/>
                <w:szCs w:val="16"/>
              </w:rPr>
            </w:pPr>
            <w:r>
              <w:rPr>
                <w:sz w:val="16"/>
                <w:szCs w:val="16"/>
              </w:rPr>
              <w:t>AV. DANIEL CLEMENTE, PRÓX. CONVENIÊNCIA PICA PAU -</w:t>
            </w:r>
            <w:r>
              <w:rPr>
                <w:sz w:val="16"/>
                <w:szCs w:val="16"/>
              </w:rPr>
              <w:br w:type="textWrapping"/>
            </w:r>
            <w:r>
              <w:rPr>
                <w:sz w:val="16"/>
                <w:szCs w:val="16"/>
              </w:rPr>
              <w:t>JARDIM MORUMBI [Sentio: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C76D43B">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5B8B379">
            <w:pPr>
              <w:spacing w:line="240" w:lineRule="auto"/>
              <w:jc w:val="center"/>
              <w:rPr>
                <w:b/>
                <w:color w:val="000000"/>
                <w:sz w:val="16"/>
                <w:szCs w:val="16"/>
              </w:rPr>
            </w:pPr>
            <w:r>
              <w:rPr>
                <w:color w:val="000000"/>
                <w:sz w:val="16"/>
                <w:szCs w:val="16"/>
              </w:rPr>
              <w:t>2</w:t>
            </w:r>
          </w:p>
        </w:tc>
      </w:tr>
      <w:tr w14:paraId="09919861">
        <w:tblPrEx>
          <w:tblCellMar>
            <w:top w:w="0" w:type="dxa"/>
            <w:left w:w="70" w:type="dxa"/>
            <w:bottom w:w="0" w:type="dxa"/>
            <w:right w:w="70" w:type="dxa"/>
          </w:tblCellMar>
        </w:tblPrEx>
        <w:trPr>
          <w:trHeight w:val="61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484FA175">
            <w:pPr>
              <w:spacing w:line="240" w:lineRule="auto"/>
              <w:jc w:val="center"/>
              <w:rPr>
                <w:color w:val="000000"/>
                <w:sz w:val="16"/>
                <w:szCs w:val="16"/>
              </w:rPr>
            </w:pPr>
            <w:r>
              <w:rPr>
                <w:color w:val="000000"/>
                <w:sz w:val="16"/>
                <w:szCs w:val="16"/>
              </w:rPr>
              <w:t>46</w:t>
            </w:r>
          </w:p>
        </w:tc>
        <w:tc>
          <w:tcPr>
            <w:tcW w:w="5981" w:type="dxa"/>
            <w:tcBorders>
              <w:top w:val="single" w:color="000000" w:sz="4" w:space="0"/>
              <w:left w:val="single" w:color="000000" w:sz="4" w:space="0"/>
              <w:bottom w:val="single" w:color="000000" w:sz="4" w:space="0"/>
              <w:right w:val="single" w:color="000000" w:sz="4" w:space="0"/>
            </w:tcBorders>
            <w:vAlign w:val="center"/>
          </w:tcPr>
          <w:p w14:paraId="31F1F11A">
            <w:pPr>
              <w:spacing w:line="240" w:lineRule="auto"/>
              <w:rPr>
                <w:rFonts w:eastAsia="Times New Roman"/>
                <w:color w:val="000000"/>
                <w:sz w:val="16"/>
                <w:szCs w:val="16"/>
              </w:rPr>
            </w:pPr>
            <w:r>
              <w:rPr>
                <w:sz w:val="16"/>
                <w:szCs w:val="16"/>
              </w:rPr>
              <w:t>AV. DANIEL CLEMENTE, PRÓX. MERCADO MORUMBI -</w:t>
            </w:r>
            <w:r>
              <w:rPr>
                <w:sz w:val="16"/>
                <w:szCs w:val="16"/>
              </w:rPr>
              <w:br w:type="textWrapping"/>
            </w:r>
            <w:r>
              <w:rPr>
                <w:sz w:val="16"/>
                <w:szCs w:val="16"/>
              </w:rPr>
              <w:t>JARDIM MORUMBI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9BB45FE">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1078E90F">
            <w:pPr>
              <w:spacing w:line="240" w:lineRule="auto"/>
              <w:jc w:val="center"/>
              <w:rPr>
                <w:b/>
                <w:color w:val="000000"/>
                <w:sz w:val="16"/>
                <w:szCs w:val="16"/>
              </w:rPr>
            </w:pPr>
            <w:r>
              <w:rPr>
                <w:color w:val="000000"/>
                <w:sz w:val="16"/>
                <w:szCs w:val="16"/>
              </w:rPr>
              <w:t>2</w:t>
            </w:r>
          </w:p>
        </w:tc>
      </w:tr>
      <w:tr w14:paraId="473338DA">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18F6FFF">
            <w:pPr>
              <w:spacing w:line="240" w:lineRule="auto"/>
              <w:jc w:val="center"/>
              <w:rPr>
                <w:color w:val="000000"/>
                <w:sz w:val="16"/>
                <w:szCs w:val="16"/>
              </w:rPr>
            </w:pPr>
            <w:r>
              <w:rPr>
                <w:color w:val="000000"/>
                <w:sz w:val="16"/>
                <w:szCs w:val="16"/>
              </w:rPr>
              <w:t>47</w:t>
            </w:r>
          </w:p>
        </w:tc>
        <w:tc>
          <w:tcPr>
            <w:tcW w:w="5981" w:type="dxa"/>
            <w:tcBorders>
              <w:top w:val="single" w:color="000000" w:sz="4" w:space="0"/>
              <w:left w:val="single" w:color="000000" w:sz="4" w:space="0"/>
              <w:bottom w:val="single" w:color="000000" w:sz="4" w:space="0"/>
              <w:right w:val="single" w:color="000000" w:sz="4" w:space="0"/>
            </w:tcBorders>
            <w:vAlign w:val="center"/>
          </w:tcPr>
          <w:p w14:paraId="66C84A4C">
            <w:pPr>
              <w:spacing w:line="240" w:lineRule="auto"/>
              <w:rPr>
                <w:rFonts w:eastAsia="Times New Roman"/>
                <w:color w:val="000000"/>
                <w:sz w:val="16"/>
                <w:szCs w:val="16"/>
              </w:rPr>
            </w:pPr>
            <w:r>
              <w:rPr>
                <w:sz w:val="16"/>
                <w:szCs w:val="16"/>
              </w:rPr>
              <w:t>AV. GOVERNADOR JÚLIO JOSÉ DE CAMPOS, N 1953 -</w:t>
            </w:r>
            <w:r>
              <w:rPr>
                <w:sz w:val="16"/>
                <w:szCs w:val="16"/>
              </w:rPr>
              <w:br w:type="textWrapping"/>
            </w:r>
            <w:r>
              <w:rPr>
                <w:sz w:val="16"/>
                <w:szCs w:val="16"/>
              </w:rPr>
              <w:t>SETOR RESIDENCIAL GRANVILLE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CD73C7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836BE66">
            <w:pPr>
              <w:spacing w:line="240" w:lineRule="auto"/>
              <w:jc w:val="center"/>
              <w:rPr>
                <w:b/>
                <w:color w:val="000000"/>
                <w:sz w:val="16"/>
                <w:szCs w:val="16"/>
              </w:rPr>
            </w:pPr>
            <w:r>
              <w:rPr>
                <w:color w:val="000000"/>
                <w:sz w:val="16"/>
                <w:szCs w:val="16"/>
              </w:rPr>
              <w:t>2</w:t>
            </w:r>
          </w:p>
        </w:tc>
      </w:tr>
      <w:tr w14:paraId="077CA816">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1318EF52">
            <w:pPr>
              <w:spacing w:line="240" w:lineRule="auto"/>
              <w:jc w:val="center"/>
              <w:rPr>
                <w:color w:val="000000"/>
                <w:sz w:val="16"/>
                <w:szCs w:val="16"/>
              </w:rPr>
            </w:pPr>
            <w:r>
              <w:rPr>
                <w:color w:val="000000"/>
                <w:sz w:val="16"/>
                <w:szCs w:val="16"/>
              </w:rPr>
              <w:t>48</w:t>
            </w:r>
          </w:p>
        </w:tc>
        <w:tc>
          <w:tcPr>
            <w:tcW w:w="5981" w:type="dxa"/>
            <w:tcBorders>
              <w:top w:val="single" w:color="000000" w:sz="4" w:space="0"/>
              <w:left w:val="single" w:color="000000" w:sz="4" w:space="0"/>
              <w:bottom w:val="single" w:color="000000" w:sz="4" w:space="0"/>
              <w:right w:val="single" w:color="000000" w:sz="4" w:space="0"/>
            </w:tcBorders>
            <w:vAlign w:val="center"/>
          </w:tcPr>
          <w:p w14:paraId="3EA1D463">
            <w:pPr>
              <w:spacing w:line="240" w:lineRule="auto"/>
              <w:rPr>
                <w:rFonts w:eastAsia="Times New Roman"/>
                <w:color w:val="000000"/>
                <w:sz w:val="16"/>
                <w:szCs w:val="16"/>
              </w:rPr>
            </w:pPr>
            <w:r>
              <w:rPr>
                <w:sz w:val="16"/>
                <w:szCs w:val="16"/>
              </w:rPr>
              <w:t>AV. GOVERNADOR JÚLIO JOSÉ DE CAMPOS, N 1953 -</w:t>
            </w:r>
            <w:r>
              <w:rPr>
                <w:sz w:val="16"/>
                <w:szCs w:val="16"/>
              </w:rPr>
              <w:br w:type="textWrapping"/>
            </w:r>
            <w:r>
              <w:rPr>
                <w:sz w:val="16"/>
                <w:szCs w:val="16"/>
              </w:rPr>
              <w:t>SETOR RESIDENCIAL GRANVILLE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615DAB43">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1800640">
            <w:pPr>
              <w:spacing w:line="240" w:lineRule="auto"/>
              <w:jc w:val="center"/>
              <w:rPr>
                <w:b/>
                <w:color w:val="000000"/>
                <w:sz w:val="16"/>
                <w:szCs w:val="16"/>
              </w:rPr>
            </w:pPr>
            <w:r>
              <w:rPr>
                <w:color w:val="000000"/>
                <w:sz w:val="16"/>
                <w:szCs w:val="16"/>
              </w:rPr>
              <w:t>2</w:t>
            </w:r>
          </w:p>
        </w:tc>
      </w:tr>
      <w:tr w14:paraId="39217E12">
        <w:tblPrEx>
          <w:tblCellMar>
            <w:top w:w="0" w:type="dxa"/>
            <w:left w:w="70" w:type="dxa"/>
            <w:bottom w:w="0" w:type="dxa"/>
            <w:right w:w="70" w:type="dxa"/>
          </w:tblCellMar>
        </w:tblPrEx>
        <w:trPr>
          <w:trHeight w:val="582"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448F782">
            <w:pPr>
              <w:spacing w:line="240" w:lineRule="auto"/>
              <w:jc w:val="center"/>
              <w:rPr>
                <w:color w:val="000000"/>
                <w:sz w:val="16"/>
                <w:szCs w:val="16"/>
              </w:rPr>
            </w:pPr>
            <w:r>
              <w:rPr>
                <w:color w:val="000000"/>
                <w:sz w:val="16"/>
                <w:szCs w:val="16"/>
              </w:rPr>
              <w:t>49</w:t>
            </w:r>
          </w:p>
        </w:tc>
        <w:tc>
          <w:tcPr>
            <w:tcW w:w="5981" w:type="dxa"/>
            <w:tcBorders>
              <w:top w:val="single" w:color="000000" w:sz="4" w:space="0"/>
              <w:left w:val="single" w:color="000000" w:sz="4" w:space="0"/>
              <w:bottom w:val="single" w:color="000000" w:sz="4" w:space="0"/>
              <w:right w:val="single" w:color="000000" w:sz="4" w:space="0"/>
            </w:tcBorders>
            <w:vAlign w:val="center"/>
          </w:tcPr>
          <w:p w14:paraId="0E4C13D1">
            <w:pPr>
              <w:spacing w:line="240" w:lineRule="auto"/>
              <w:rPr>
                <w:rFonts w:eastAsia="Times New Roman"/>
                <w:color w:val="000000"/>
                <w:sz w:val="16"/>
                <w:szCs w:val="16"/>
              </w:rPr>
            </w:pPr>
            <w:r>
              <w:rPr>
                <w:sz w:val="16"/>
                <w:szCs w:val="16"/>
              </w:rPr>
              <w:t>AV. DOS ESTUDANTES - ENTRADA DO BAIRRO COLINA</w:t>
            </w:r>
            <w:r>
              <w:rPr>
                <w:sz w:val="16"/>
                <w:szCs w:val="16"/>
              </w:rPr>
              <w:br w:type="textWrapping"/>
            </w:r>
            <w:r>
              <w:rPr>
                <w:sz w:val="16"/>
                <w:szCs w:val="16"/>
              </w:rPr>
              <w:t>VERDE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17A0E76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12D965C2">
            <w:pPr>
              <w:spacing w:line="240" w:lineRule="auto"/>
              <w:jc w:val="center"/>
              <w:rPr>
                <w:b/>
                <w:color w:val="000000"/>
                <w:sz w:val="16"/>
                <w:szCs w:val="16"/>
              </w:rPr>
            </w:pPr>
            <w:r>
              <w:rPr>
                <w:color w:val="000000"/>
                <w:sz w:val="16"/>
                <w:szCs w:val="16"/>
              </w:rPr>
              <w:t>2</w:t>
            </w:r>
          </w:p>
        </w:tc>
      </w:tr>
      <w:tr w14:paraId="007D1903">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4EE5407">
            <w:pPr>
              <w:spacing w:line="240" w:lineRule="auto"/>
              <w:jc w:val="center"/>
              <w:rPr>
                <w:color w:val="000000"/>
                <w:sz w:val="16"/>
                <w:szCs w:val="16"/>
              </w:rPr>
            </w:pPr>
            <w:r>
              <w:rPr>
                <w:color w:val="000000"/>
                <w:sz w:val="16"/>
                <w:szCs w:val="16"/>
              </w:rPr>
              <w:t>50</w:t>
            </w:r>
          </w:p>
        </w:tc>
        <w:tc>
          <w:tcPr>
            <w:tcW w:w="5981" w:type="dxa"/>
            <w:tcBorders>
              <w:top w:val="single" w:color="000000" w:sz="4" w:space="0"/>
              <w:left w:val="single" w:color="000000" w:sz="4" w:space="0"/>
              <w:bottom w:val="single" w:color="000000" w:sz="4" w:space="0"/>
              <w:right w:val="single" w:color="000000" w:sz="4" w:space="0"/>
            </w:tcBorders>
            <w:vAlign w:val="center"/>
          </w:tcPr>
          <w:p w14:paraId="561A6210">
            <w:pPr>
              <w:spacing w:line="240" w:lineRule="auto"/>
              <w:rPr>
                <w:rFonts w:eastAsia="Times New Roman"/>
                <w:color w:val="000000"/>
                <w:sz w:val="16"/>
                <w:szCs w:val="16"/>
              </w:rPr>
            </w:pPr>
            <w:r>
              <w:rPr>
                <w:sz w:val="16"/>
                <w:szCs w:val="16"/>
              </w:rPr>
              <w:t>AV. DOS ESTUDANTES - ENTRADA DO BAIRRO COLINA</w:t>
            </w:r>
            <w:r>
              <w:rPr>
                <w:sz w:val="16"/>
                <w:szCs w:val="16"/>
              </w:rPr>
              <w:br w:type="textWrapping"/>
            </w:r>
            <w:r>
              <w:rPr>
                <w:sz w:val="16"/>
                <w:szCs w:val="16"/>
              </w:rPr>
              <w:t>VERDE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D30F1A1">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9B283F4">
            <w:pPr>
              <w:spacing w:line="240" w:lineRule="auto"/>
              <w:jc w:val="center"/>
              <w:rPr>
                <w:b/>
                <w:color w:val="000000"/>
                <w:sz w:val="16"/>
                <w:szCs w:val="16"/>
              </w:rPr>
            </w:pPr>
            <w:r>
              <w:rPr>
                <w:color w:val="000000"/>
                <w:sz w:val="16"/>
                <w:szCs w:val="16"/>
              </w:rPr>
              <w:t>2</w:t>
            </w:r>
          </w:p>
        </w:tc>
      </w:tr>
      <w:tr w14:paraId="104A01C6">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A3534BF">
            <w:pPr>
              <w:spacing w:line="240" w:lineRule="auto"/>
              <w:jc w:val="center"/>
              <w:rPr>
                <w:color w:val="000000"/>
                <w:sz w:val="16"/>
                <w:szCs w:val="16"/>
              </w:rPr>
            </w:pPr>
            <w:r>
              <w:rPr>
                <w:color w:val="000000"/>
                <w:sz w:val="16"/>
                <w:szCs w:val="16"/>
              </w:rPr>
              <w:t>51</w:t>
            </w:r>
          </w:p>
        </w:tc>
        <w:tc>
          <w:tcPr>
            <w:tcW w:w="5981" w:type="dxa"/>
            <w:tcBorders>
              <w:top w:val="single" w:color="000000" w:sz="4" w:space="0"/>
              <w:left w:val="single" w:color="000000" w:sz="4" w:space="0"/>
              <w:bottom w:val="single" w:color="000000" w:sz="4" w:space="0"/>
              <w:right w:val="single" w:color="000000" w:sz="4" w:space="0"/>
            </w:tcBorders>
            <w:vAlign w:val="center"/>
          </w:tcPr>
          <w:p w14:paraId="4635671E">
            <w:pPr>
              <w:spacing w:line="240" w:lineRule="auto"/>
              <w:rPr>
                <w:b/>
                <w:sz w:val="16"/>
                <w:szCs w:val="16"/>
              </w:rPr>
            </w:pPr>
            <w:r>
              <w:rPr>
                <w:sz w:val="16"/>
                <w:szCs w:val="16"/>
              </w:rPr>
              <w:t>RUA FERNANDO CORRÊA DA COSTA ESQ. C/ AV. GENERAL FALCONIERI N 674 - VILA AURORA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09C1C624">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9DAF731">
            <w:pPr>
              <w:spacing w:line="240" w:lineRule="auto"/>
              <w:jc w:val="center"/>
              <w:rPr>
                <w:b/>
                <w:color w:val="000000"/>
                <w:sz w:val="16"/>
                <w:szCs w:val="16"/>
              </w:rPr>
            </w:pPr>
            <w:r>
              <w:rPr>
                <w:color w:val="000000"/>
                <w:sz w:val="16"/>
                <w:szCs w:val="16"/>
              </w:rPr>
              <w:t>2</w:t>
            </w:r>
          </w:p>
        </w:tc>
      </w:tr>
      <w:tr w14:paraId="7B27849D">
        <w:tblPrEx>
          <w:tblCellMar>
            <w:top w:w="0" w:type="dxa"/>
            <w:left w:w="70" w:type="dxa"/>
            <w:bottom w:w="0" w:type="dxa"/>
            <w:right w:w="70" w:type="dxa"/>
          </w:tblCellMar>
        </w:tblPrEx>
        <w:trPr>
          <w:trHeight w:val="67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0232BCC9">
            <w:pPr>
              <w:spacing w:line="240" w:lineRule="auto"/>
              <w:jc w:val="center"/>
              <w:rPr>
                <w:color w:val="000000"/>
                <w:sz w:val="16"/>
                <w:szCs w:val="16"/>
              </w:rPr>
            </w:pPr>
            <w:r>
              <w:rPr>
                <w:color w:val="000000"/>
                <w:sz w:val="16"/>
                <w:szCs w:val="16"/>
              </w:rPr>
              <w:t>52</w:t>
            </w:r>
          </w:p>
        </w:tc>
        <w:tc>
          <w:tcPr>
            <w:tcW w:w="5981" w:type="dxa"/>
            <w:tcBorders>
              <w:top w:val="single" w:color="000000" w:sz="4" w:space="0"/>
              <w:left w:val="single" w:color="000000" w:sz="4" w:space="0"/>
              <w:bottom w:val="single" w:color="000000" w:sz="4" w:space="0"/>
              <w:right w:val="single" w:color="000000" w:sz="4" w:space="0"/>
            </w:tcBorders>
            <w:vAlign w:val="center"/>
          </w:tcPr>
          <w:p w14:paraId="6F8112CE">
            <w:pPr>
              <w:spacing w:line="240" w:lineRule="auto"/>
              <w:rPr>
                <w:rFonts w:eastAsia="Times New Roman"/>
                <w:color w:val="000000"/>
                <w:sz w:val="16"/>
                <w:szCs w:val="16"/>
              </w:rPr>
            </w:pPr>
            <w:r>
              <w:rPr>
                <w:sz w:val="16"/>
                <w:szCs w:val="16"/>
              </w:rPr>
              <w:t>AV. BANDEIRANTES - Próx. A ENTRADA DO JD. DAS FLORES</w:t>
            </w:r>
            <w:r>
              <w:rPr>
                <w:sz w:val="16"/>
                <w:szCs w:val="16"/>
              </w:rPr>
              <w:br w:type="textWrapping"/>
            </w:r>
            <w:r>
              <w:rPr>
                <w:sz w:val="16"/>
                <w:szCs w:val="16"/>
              </w:rPr>
              <w:t>[Sentido: Centro/Bairro e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5BB53FC">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3E91D1B9">
            <w:pPr>
              <w:spacing w:line="240" w:lineRule="auto"/>
              <w:jc w:val="center"/>
              <w:rPr>
                <w:b/>
                <w:color w:val="000000"/>
                <w:sz w:val="16"/>
                <w:szCs w:val="16"/>
              </w:rPr>
            </w:pPr>
            <w:r>
              <w:rPr>
                <w:color w:val="000000"/>
                <w:sz w:val="16"/>
                <w:szCs w:val="16"/>
              </w:rPr>
              <w:t>2</w:t>
            </w:r>
          </w:p>
        </w:tc>
      </w:tr>
      <w:tr w14:paraId="3AC891AF">
        <w:tblPrEx>
          <w:tblCellMar>
            <w:top w:w="0" w:type="dxa"/>
            <w:left w:w="70" w:type="dxa"/>
            <w:bottom w:w="0" w:type="dxa"/>
            <w:right w:w="70" w:type="dxa"/>
          </w:tblCellMar>
        </w:tblPrEx>
        <w:trPr>
          <w:trHeight w:val="702"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6177625">
            <w:pPr>
              <w:spacing w:line="240" w:lineRule="auto"/>
              <w:jc w:val="center"/>
              <w:rPr>
                <w:color w:val="000000"/>
                <w:sz w:val="16"/>
                <w:szCs w:val="16"/>
              </w:rPr>
            </w:pPr>
            <w:r>
              <w:rPr>
                <w:color w:val="000000"/>
                <w:sz w:val="16"/>
                <w:szCs w:val="16"/>
              </w:rPr>
              <w:t>53</w:t>
            </w:r>
          </w:p>
        </w:tc>
        <w:tc>
          <w:tcPr>
            <w:tcW w:w="5981" w:type="dxa"/>
            <w:tcBorders>
              <w:top w:val="single" w:color="000000" w:sz="4" w:space="0"/>
              <w:left w:val="single" w:color="000000" w:sz="4" w:space="0"/>
              <w:bottom w:val="single" w:color="000000" w:sz="4" w:space="0"/>
              <w:right w:val="single" w:color="000000" w:sz="4" w:space="0"/>
            </w:tcBorders>
            <w:vAlign w:val="center"/>
          </w:tcPr>
          <w:p w14:paraId="3D1C2DB4">
            <w:pPr>
              <w:spacing w:line="240" w:lineRule="auto"/>
              <w:rPr>
                <w:rFonts w:eastAsia="Times New Roman"/>
                <w:color w:val="000000"/>
                <w:sz w:val="16"/>
                <w:szCs w:val="16"/>
              </w:rPr>
            </w:pPr>
            <w:r>
              <w:rPr>
                <w:sz w:val="16"/>
                <w:szCs w:val="16"/>
              </w:rPr>
              <w:t>AV. GOIÂNIA Nº 788 - BAIRRO JARDIM PINDORAMA - WCAR</w:t>
            </w:r>
            <w:r>
              <w:rPr>
                <w:sz w:val="16"/>
                <w:szCs w:val="16"/>
              </w:rPr>
              <w:br w:type="textWrapping"/>
            </w:r>
            <w:r>
              <w:rPr>
                <w:sz w:val="16"/>
                <w:szCs w:val="16"/>
              </w:rPr>
              <w:t>BORRACHARIA [Sentido Duplo: Centro/Bairro e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7D12181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3A3267E5">
            <w:pPr>
              <w:spacing w:line="240" w:lineRule="auto"/>
              <w:jc w:val="center"/>
              <w:rPr>
                <w:b/>
                <w:color w:val="000000"/>
                <w:sz w:val="16"/>
                <w:szCs w:val="16"/>
              </w:rPr>
            </w:pPr>
            <w:r>
              <w:rPr>
                <w:color w:val="000000"/>
                <w:sz w:val="16"/>
                <w:szCs w:val="16"/>
              </w:rPr>
              <w:t>2</w:t>
            </w:r>
          </w:p>
        </w:tc>
      </w:tr>
      <w:tr w14:paraId="318191EA">
        <w:tblPrEx>
          <w:tblCellMar>
            <w:top w:w="0" w:type="dxa"/>
            <w:left w:w="70" w:type="dxa"/>
            <w:bottom w:w="0" w:type="dxa"/>
            <w:right w:w="70" w:type="dxa"/>
          </w:tblCellMar>
        </w:tblPrEx>
        <w:trPr>
          <w:trHeight w:val="49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B89CA14">
            <w:pPr>
              <w:spacing w:line="240" w:lineRule="auto"/>
              <w:jc w:val="center"/>
              <w:rPr>
                <w:color w:val="000000"/>
                <w:sz w:val="16"/>
                <w:szCs w:val="16"/>
              </w:rPr>
            </w:pPr>
            <w:r>
              <w:rPr>
                <w:color w:val="000000"/>
                <w:sz w:val="16"/>
                <w:szCs w:val="16"/>
              </w:rPr>
              <w:t>54</w:t>
            </w:r>
          </w:p>
        </w:tc>
        <w:tc>
          <w:tcPr>
            <w:tcW w:w="5981" w:type="dxa"/>
            <w:tcBorders>
              <w:top w:val="single" w:color="000000" w:sz="4" w:space="0"/>
              <w:left w:val="single" w:color="000000" w:sz="4" w:space="0"/>
              <w:bottom w:val="single" w:color="000000" w:sz="4" w:space="0"/>
              <w:right w:val="single" w:color="000000" w:sz="4" w:space="0"/>
            </w:tcBorders>
            <w:vAlign w:val="center"/>
          </w:tcPr>
          <w:p w14:paraId="301A437F">
            <w:pPr>
              <w:spacing w:line="240" w:lineRule="auto"/>
              <w:ind w:firstLine="161"/>
              <w:rPr>
                <w:rFonts w:eastAsia="Times New Roman"/>
                <w:color w:val="000000"/>
                <w:sz w:val="16"/>
                <w:szCs w:val="16"/>
              </w:rPr>
            </w:pPr>
            <w:r>
              <w:rPr>
                <w:sz w:val="16"/>
                <w:szCs w:val="16"/>
              </w:rPr>
              <w:t>AV. PRESIDENTE MEDICI, N. 3821, PROX. A CHEVROLET -</w:t>
            </w:r>
            <w:r>
              <w:rPr>
                <w:sz w:val="16"/>
                <w:szCs w:val="16"/>
              </w:rPr>
              <w:br w:type="textWrapping"/>
            </w:r>
            <w:r>
              <w:rPr>
                <w:sz w:val="16"/>
                <w:szCs w:val="16"/>
              </w:rPr>
              <w:t>BAIRRO CIDADE SALMEN [Duplo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7A9C3DFE">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70337D4">
            <w:pPr>
              <w:spacing w:line="240" w:lineRule="auto"/>
              <w:jc w:val="center"/>
              <w:rPr>
                <w:b/>
                <w:color w:val="000000"/>
                <w:sz w:val="16"/>
                <w:szCs w:val="16"/>
              </w:rPr>
            </w:pPr>
            <w:r>
              <w:rPr>
                <w:color w:val="000000"/>
                <w:sz w:val="16"/>
                <w:szCs w:val="16"/>
              </w:rPr>
              <w:t>3</w:t>
            </w:r>
          </w:p>
        </w:tc>
      </w:tr>
      <w:tr w14:paraId="12D684AC">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2C785F0">
            <w:pPr>
              <w:spacing w:line="240" w:lineRule="auto"/>
              <w:jc w:val="center"/>
              <w:rPr>
                <w:color w:val="000000"/>
                <w:sz w:val="16"/>
                <w:szCs w:val="16"/>
              </w:rPr>
            </w:pPr>
            <w:r>
              <w:rPr>
                <w:color w:val="000000"/>
                <w:sz w:val="16"/>
                <w:szCs w:val="16"/>
              </w:rPr>
              <w:t>55</w:t>
            </w:r>
          </w:p>
        </w:tc>
        <w:tc>
          <w:tcPr>
            <w:tcW w:w="5981" w:type="dxa"/>
            <w:tcBorders>
              <w:top w:val="single" w:color="000000" w:sz="4" w:space="0"/>
              <w:left w:val="single" w:color="000000" w:sz="4" w:space="0"/>
              <w:bottom w:val="single" w:color="000000" w:sz="4" w:space="0"/>
              <w:right w:val="single" w:color="000000" w:sz="4" w:space="0"/>
            </w:tcBorders>
            <w:vAlign w:val="center"/>
          </w:tcPr>
          <w:p w14:paraId="4B6A306A">
            <w:pPr>
              <w:spacing w:line="240" w:lineRule="auto"/>
              <w:rPr>
                <w:rFonts w:eastAsia="Times New Roman"/>
                <w:color w:val="000000"/>
                <w:sz w:val="16"/>
                <w:szCs w:val="16"/>
              </w:rPr>
            </w:pPr>
            <w:r>
              <w:rPr>
                <w:sz w:val="16"/>
                <w:szCs w:val="16"/>
              </w:rPr>
              <w:t>AV. PRESIDENTE MEDICI, N. 3656, PROX. AO HOTEL</w:t>
            </w:r>
            <w:r>
              <w:rPr>
                <w:sz w:val="16"/>
                <w:szCs w:val="16"/>
              </w:rPr>
              <w:br w:type="textWrapping"/>
            </w:r>
            <w:r>
              <w:rPr>
                <w:sz w:val="16"/>
                <w:szCs w:val="16"/>
              </w:rPr>
              <w:t>SERRAS - BAIRRO CIDADE SALMEN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3D01F6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2250DA61">
            <w:pPr>
              <w:spacing w:line="240" w:lineRule="auto"/>
              <w:jc w:val="center"/>
              <w:rPr>
                <w:b/>
                <w:color w:val="000000"/>
                <w:sz w:val="16"/>
                <w:szCs w:val="16"/>
              </w:rPr>
            </w:pPr>
            <w:r>
              <w:rPr>
                <w:color w:val="000000"/>
                <w:sz w:val="16"/>
                <w:szCs w:val="16"/>
              </w:rPr>
              <w:t>3</w:t>
            </w:r>
          </w:p>
        </w:tc>
      </w:tr>
      <w:tr w14:paraId="5B9B6C02">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4AAC6E42">
            <w:pPr>
              <w:spacing w:line="240" w:lineRule="auto"/>
              <w:jc w:val="center"/>
              <w:rPr>
                <w:color w:val="000000"/>
                <w:sz w:val="16"/>
                <w:szCs w:val="16"/>
              </w:rPr>
            </w:pPr>
            <w:r>
              <w:rPr>
                <w:color w:val="000000"/>
                <w:sz w:val="16"/>
                <w:szCs w:val="16"/>
              </w:rPr>
              <w:t>56</w:t>
            </w:r>
          </w:p>
        </w:tc>
        <w:tc>
          <w:tcPr>
            <w:tcW w:w="5981" w:type="dxa"/>
            <w:tcBorders>
              <w:top w:val="single" w:color="000000" w:sz="4" w:space="0"/>
              <w:left w:val="single" w:color="000000" w:sz="4" w:space="0"/>
              <w:bottom w:val="single" w:color="000000" w:sz="4" w:space="0"/>
              <w:right w:val="single" w:color="000000" w:sz="4" w:space="0"/>
            </w:tcBorders>
            <w:vAlign w:val="center"/>
          </w:tcPr>
          <w:p w14:paraId="540EC785">
            <w:pPr>
              <w:spacing w:line="240" w:lineRule="auto"/>
              <w:rPr>
                <w:rFonts w:eastAsia="Times New Roman"/>
                <w:color w:val="000000"/>
                <w:sz w:val="16"/>
                <w:szCs w:val="16"/>
              </w:rPr>
            </w:pPr>
            <w:r>
              <w:rPr>
                <w:sz w:val="16"/>
                <w:szCs w:val="16"/>
              </w:rPr>
              <w:t>AV. CASSIMIRO DE ABREU, N. 671 BAIRRO JOÃO DE BARRO</w:t>
            </w:r>
            <w:r>
              <w:rPr>
                <w:sz w:val="16"/>
                <w:szCs w:val="16"/>
              </w:rPr>
              <w:br w:type="textWrapping"/>
            </w:r>
            <w:r>
              <w:rPr>
                <w:sz w:val="16"/>
                <w:szCs w:val="16"/>
              </w:rPr>
              <w:t>[Sentido Duplo: Bairro/Centro e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6092895">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3866D237">
            <w:pPr>
              <w:spacing w:line="240" w:lineRule="auto"/>
              <w:jc w:val="center"/>
              <w:rPr>
                <w:b/>
                <w:color w:val="000000"/>
                <w:sz w:val="16"/>
                <w:szCs w:val="16"/>
              </w:rPr>
            </w:pPr>
            <w:r>
              <w:rPr>
                <w:color w:val="000000"/>
                <w:sz w:val="16"/>
                <w:szCs w:val="16"/>
              </w:rPr>
              <w:t>2</w:t>
            </w:r>
          </w:p>
        </w:tc>
      </w:tr>
      <w:tr w14:paraId="7B61B195">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748B755F">
            <w:pPr>
              <w:spacing w:line="240" w:lineRule="auto"/>
              <w:jc w:val="center"/>
              <w:rPr>
                <w:color w:val="000000"/>
                <w:sz w:val="16"/>
                <w:szCs w:val="16"/>
              </w:rPr>
            </w:pPr>
            <w:r>
              <w:rPr>
                <w:color w:val="000000"/>
                <w:sz w:val="16"/>
                <w:szCs w:val="16"/>
              </w:rPr>
              <w:t>57</w:t>
            </w:r>
          </w:p>
        </w:tc>
        <w:tc>
          <w:tcPr>
            <w:tcW w:w="5981" w:type="dxa"/>
            <w:tcBorders>
              <w:top w:val="single" w:color="000000" w:sz="4" w:space="0"/>
              <w:left w:val="single" w:color="000000" w:sz="4" w:space="0"/>
              <w:bottom w:val="single" w:color="000000" w:sz="4" w:space="0"/>
              <w:right w:val="single" w:color="000000" w:sz="4" w:space="0"/>
            </w:tcBorders>
            <w:vAlign w:val="center"/>
          </w:tcPr>
          <w:p w14:paraId="2522A5E4">
            <w:pPr>
              <w:spacing w:line="240" w:lineRule="auto"/>
              <w:rPr>
                <w:b/>
                <w:sz w:val="16"/>
                <w:szCs w:val="16"/>
              </w:rPr>
            </w:pPr>
            <w:r>
              <w:rPr>
                <w:sz w:val="16"/>
                <w:szCs w:val="16"/>
              </w:rPr>
              <w:t>RUA DOM PEDRO II, ALT 1300</w:t>
            </w:r>
          </w:p>
        </w:tc>
        <w:tc>
          <w:tcPr>
            <w:tcW w:w="1276" w:type="dxa"/>
            <w:tcBorders>
              <w:top w:val="single" w:color="000000" w:sz="4" w:space="0"/>
              <w:left w:val="single" w:color="000000" w:sz="4" w:space="0"/>
              <w:bottom w:val="single" w:color="000000" w:sz="4" w:space="0"/>
              <w:right w:val="single" w:color="000000" w:sz="4" w:space="0"/>
            </w:tcBorders>
            <w:vAlign w:val="center"/>
          </w:tcPr>
          <w:p w14:paraId="3D42D05A">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473FF332">
            <w:pPr>
              <w:spacing w:line="240" w:lineRule="auto"/>
              <w:jc w:val="center"/>
              <w:rPr>
                <w:b/>
                <w:color w:val="000000"/>
                <w:sz w:val="16"/>
                <w:szCs w:val="16"/>
              </w:rPr>
            </w:pPr>
            <w:r>
              <w:rPr>
                <w:color w:val="000000"/>
                <w:sz w:val="16"/>
                <w:szCs w:val="16"/>
              </w:rPr>
              <w:t>2</w:t>
            </w:r>
          </w:p>
        </w:tc>
      </w:tr>
      <w:tr w14:paraId="331EC006">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DE69AF6">
            <w:pPr>
              <w:spacing w:line="240" w:lineRule="auto"/>
              <w:jc w:val="center"/>
              <w:rPr>
                <w:color w:val="000000"/>
                <w:sz w:val="16"/>
                <w:szCs w:val="16"/>
              </w:rPr>
            </w:pPr>
            <w:r>
              <w:rPr>
                <w:color w:val="000000"/>
                <w:sz w:val="16"/>
                <w:szCs w:val="16"/>
              </w:rPr>
              <w:t>58</w:t>
            </w:r>
          </w:p>
        </w:tc>
        <w:tc>
          <w:tcPr>
            <w:tcW w:w="5981" w:type="dxa"/>
            <w:tcBorders>
              <w:top w:val="single" w:color="000000" w:sz="4" w:space="0"/>
              <w:left w:val="single" w:color="000000" w:sz="4" w:space="0"/>
              <w:bottom w:val="single" w:color="000000" w:sz="4" w:space="0"/>
              <w:right w:val="single" w:color="000000" w:sz="4" w:space="0"/>
            </w:tcBorders>
            <w:vAlign w:val="center"/>
          </w:tcPr>
          <w:p w14:paraId="42D3B6B2">
            <w:pPr>
              <w:spacing w:line="240" w:lineRule="auto"/>
              <w:rPr>
                <w:b/>
                <w:sz w:val="16"/>
                <w:szCs w:val="16"/>
              </w:rPr>
            </w:pPr>
            <w:r>
              <w:rPr>
                <w:sz w:val="16"/>
                <w:szCs w:val="16"/>
              </w:rPr>
              <w:t>RUA ROSA BORORO, 470, PROX AV TIRADENTES</w:t>
            </w:r>
          </w:p>
        </w:tc>
        <w:tc>
          <w:tcPr>
            <w:tcW w:w="1276" w:type="dxa"/>
            <w:tcBorders>
              <w:top w:val="single" w:color="000000" w:sz="4" w:space="0"/>
              <w:left w:val="single" w:color="000000" w:sz="4" w:space="0"/>
              <w:bottom w:val="single" w:color="000000" w:sz="4" w:space="0"/>
              <w:right w:val="single" w:color="000000" w:sz="4" w:space="0"/>
            </w:tcBorders>
            <w:vAlign w:val="center"/>
          </w:tcPr>
          <w:p w14:paraId="4F1490B9">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300DCAD">
            <w:pPr>
              <w:spacing w:line="240" w:lineRule="auto"/>
              <w:jc w:val="center"/>
              <w:rPr>
                <w:b/>
                <w:color w:val="000000"/>
                <w:sz w:val="16"/>
                <w:szCs w:val="16"/>
              </w:rPr>
            </w:pPr>
            <w:r>
              <w:rPr>
                <w:color w:val="000000"/>
                <w:sz w:val="16"/>
                <w:szCs w:val="16"/>
              </w:rPr>
              <w:t>2</w:t>
            </w:r>
          </w:p>
        </w:tc>
      </w:tr>
      <w:tr w14:paraId="36BB274A">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DB98497">
            <w:pPr>
              <w:spacing w:line="240" w:lineRule="auto"/>
              <w:jc w:val="center"/>
              <w:rPr>
                <w:color w:val="000000"/>
                <w:sz w:val="16"/>
                <w:szCs w:val="16"/>
              </w:rPr>
            </w:pPr>
            <w:r>
              <w:rPr>
                <w:color w:val="000000"/>
                <w:sz w:val="16"/>
                <w:szCs w:val="16"/>
              </w:rPr>
              <w:t>59</w:t>
            </w:r>
          </w:p>
        </w:tc>
        <w:tc>
          <w:tcPr>
            <w:tcW w:w="5981" w:type="dxa"/>
            <w:tcBorders>
              <w:top w:val="single" w:color="000000" w:sz="4" w:space="0"/>
              <w:left w:val="single" w:color="000000" w:sz="4" w:space="0"/>
              <w:bottom w:val="single" w:color="000000" w:sz="4" w:space="0"/>
              <w:right w:val="single" w:color="000000" w:sz="4" w:space="0"/>
            </w:tcBorders>
            <w:vAlign w:val="center"/>
          </w:tcPr>
          <w:p w14:paraId="1120699A">
            <w:pPr>
              <w:spacing w:line="240" w:lineRule="auto"/>
              <w:rPr>
                <w:rFonts w:eastAsia="Times New Roman"/>
                <w:color w:val="000000"/>
                <w:sz w:val="16"/>
                <w:szCs w:val="16"/>
              </w:rPr>
            </w:pPr>
            <w:r>
              <w:rPr>
                <w:sz w:val="16"/>
                <w:szCs w:val="16"/>
              </w:rPr>
              <w:t>AV. OTAVIANO MUNIZ - EQUOTERAPIA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37FFD2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001EC012">
            <w:pPr>
              <w:spacing w:line="240" w:lineRule="auto"/>
              <w:jc w:val="center"/>
              <w:rPr>
                <w:b/>
                <w:color w:val="000000"/>
                <w:sz w:val="16"/>
                <w:szCs w:val="16"/>
              </w:rPr>
            </w:pPr>
            <w:r>
              <w:rPr>
                <w:color w:val="000000"/>
                <w:sz w:val="16"/>
                <w:szCs w:val="16"/>
              </w:rPr>
              <w:t>2</w:t>
            </w:r>
          </w:p>
        </w:tc>
      </w:tr>
      <w:tr w14:paraId="1B47AF0D">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44DF16EE">
            <w:pPr>
              <w:spacing w:line="240" w:lineRule="auto"/>
              <w:jc w:val="center"/>
              <w:rPr>
                <w:color w:val="000000"/>
                <w:sz w:val="16"/>
                <w:szCs w:val="16"/>
              </w:rPr>
            </w:pPr>
            <w:r>
              <w:rPr>
                <w:color w:val="000000"/>
                <w:sz w:val="16"/>
                <w:szCs w:val="16"/>
              </w:rPr>
              <w:t>60</w:t>
            </w:r>
          </w:p>
        </w:tc>
        <w:tc>
          <w:tcPr>
            <w:tcW w:w="5981" w:type="dxa"/>
            <w:tcBorders>
              <w:top w:val="single" w:color="000000" w:sz="4" w:space="0"/>
              <w:left w:val="single" w:color="000000" w:sz="4" w:space="0"/>
              <w:bottom w:val="single" w:color="000000" w:sz="4" w:space="0"/>
              <w:right w:val="single" w:color="000000" w:sz="4" w:space="0"/>
            </w:tcBorders>
            <w:vAlign w:val="center"/>
          </w:tcPr>
          <w:p w14:paraId="3D7F708B">
            <w:pPr>
              <w:spacing w:line="240" w:lineRule="auto"/>
              <w:rPr>
                <w:rFonts w:eastAsia="Times New Roman"/>
                <w:color w:val="000000"/>
                <w:sz w:val="16"/>
                <w:szCs w:val="16"/>
              </w:rPr>
            </w:pPr>
            <w:r>
              <w:rPr>
                <w:sz w:val="16"/>
                <w:szCs w:val="16"/>
              </w:rPr>
              <w:t>AV OTAVIANO MUNIZ - PONTO CENTRAL - [Sentido: bairro /centro]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D0D544B">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367AC3E">
            <w:pPr>
              <w:spacing w:line="240" w:lineRule="auto"/>
              <w:jc w:val="center"/>
              <w:rPr>
                <w:b/>
                <w:color w:val="000000"/>
                <w:sz w:val="16"/>
                <w:szCs w:val="16"/>
              </w:rPr>
            </w:pPr>
            <w:r>
              <w:rPr>
                <w:color w:val="000000"/>
                <w:sz w:val="16"/>
                <w:szCs w:val="16"/>
              </w:rPr>
              <w:t>2</w:t>
            </w:r>
          </w:p>
        </w:tc>
      </w:tr>
      <w:tr w14:paraId="42F0F0C4">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2813481C">
            <w:pPr>
              <w:spacing w:line="240" w:lineRule="auto"/>
              <w:jc w:val="center"/>
              <w:rPr>
                <w:color w:val="000000"/>
                <w:sz w:val="16"/>
                <w:szCs w:val="16"/>
              </w:rPr>
            </w:pPr>
            <w:r>
              <w:rPr>
                <w:color w:val="000000"/>
                <w:sz w:val="16"/>
                <w:szCs w:val="16"/>
              </w:rPr>
              <w:t>61</w:t>
            </w:r>
          </w:p>
        </w:tc>
        <w:tc>
          <w:tcPr>
            <w:tcW w:w="5981" w:type="dxa"/>
            <w:tcBorders>
              <w:top w:val="single" w:color="000000" w:sz="4" w:space="0"/>
              <w:left w:val="single" w:color="000000" w:sz="4" w:space="0"/>
              <w:bottom w:val="single" w:color="000000" w:sz="4" w:space="0"/>
              <w:right w:val="single" w:color="000000" w:sz="4" w:space="0"/>
            </w:tcBorders>
            <w:vAlign w:val="center"/>
          </w:tcPr>
          <w:p w14:paraId="06C23178">
            <w:pPr>
              <w:spacing w:line="240" w:lineRule="auto"/>
              <w:rPr>
                <w:rFonts w:eastAsia="Times New Roman"/>
                <w:color w:val="000000"/>
                <w:sz w:val="16"/>
                <w:szCs w:val="16"/>
              </w:rPr>
            </w:pPr>
            <w:r>
              <w:rPr>
                <w:sz w:val="16"/>
                <w:szCs w:val="16"/>
              </w:rPr>
              <w:t>AV OTAVIANO MUNIZ - PONTO CENTRAL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62F06D28">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3C9889F3">
            <w:pPr>
              <w:spacing w:line="240" w:lineRule="auto"/>
              <w:jc w:val="center"/>
              <w:rPr>
                <w:b/>
                <w:color w:val="000000"/>
                <w:sz w:val="16"/>
                <w:szCs w:val="16"/>
              </w:rPr>
            </w:pPr>
            <w:r>
              <w:rPr>
                <w:color w:val="000000"/>
                <w:sz w:val="16"/>
                <w:szCs w:val="16"/>
              </w:rPr>
              <w:t>2</w:t>
            </w:r>
          </w:p>
        </w:tc>
      </w:tr>
      <w:tr w14:paraId="3FC47D2F">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0515F9A">
            <w:pPr>
              <w:spacing w:line="240" w:lineRule="auto"/>
              <w:jc w:val="center"/>
              <w:rPr>
                <w:color w:val="000000"/>
                <w:sz w:val="16"/>
                <w:szCs w:val="16"/>
              </w:rPr>
            </w:pPr>
            <w:r>
              <w:rPr>
                <w:color w:val="000000"/>
                <w:sz w:val="16"/>
                <w:szCs w:val="16"/>
              </w:rPr>
              <w:t>62</w:t>
            </w:r>
          </w:p>
        </w:tc>
        <w:tc>
          <w:tcPr>
            <w:tcW w:w="5981" w:type="dxa"/>
            <w:tcBorders>
              <w:top w:val="single" w:color="000000" w:sz="4" w:space="0"/>
              <w:left w:val="single" w:color="000000" w:sz="4" w:space="0"/>
              <w:bottom w:val="single" w:color="000000" w:sz="4" w:space="0"/>
              <w:right w:val="single" w:color="000000" w:sz="4" w:space="0"/>
            </w:tcBorders>
            <w:vAlign w:val="center"/>
          </w:tcPr>
          <w:p w14:paraId="3CCD6CF7">
            <w:pPr>
              <w:spacing w:line="240" w:lineRule="auto"/>
              <w:rPr>
                <w:rFonts w:eastAsia="Times New Roman"/>
                <w:color w:val="000000"/>
                <w:sz w:val="16"/>
                <w:szCs w:val="16"/>
              </w:rPr>
            </w:pPr>
            <w:r>
              <w:rPr>
                <w:sz w:val="16"/>
                <w:szCs w:val="16"/>
              </w:rPr>
              <w:t>AV. OTAVIANO MUNIZ - CÓRREGO LOURENCINHO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FDA074A">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A566744">
            <w:pPr>
              <w:spacing w:line="240" w:lineRule="auto"/>
              <w:jc w:val="center"/>
              <w:rPr>
                <w:b/>
                <w:color w:val="000000"/>
                <w:sz w:val="16"/>
                <w:szCs w:val="16"/>
              </w:rPr>
            </w:pPr>
            <w:r>
              <w:rPr>
                <w:color w:val="000000"/>
                <w:sz w:val="16"/>
                <w:szCs w:val="16"/>
              </w:rPr>
              <w:t>2</w:t>
            </w:r>
          </w:p>
        </w:tc>
      </w:tr>
      <w:tr w14:paraId="230DED0A">
        <w:tblPrEx>
          <w:tblCellMar>
            <w:top w:w="0" w:type="dxa"/>
            <w:left w:w="70" w:type="dxa"/>
            <w:bottom w:w="0" w:type="dxa"/>
            <w:right w:w="70" w:type="dxa"/>
          </w:tblCellMar>
        </w:tblPrEx>
        <w:trPr>
          <w:trHeight w:val="612"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700359F9">
            <w:pPr>
              <w:spacing w:line="240" w:lineRule="auto"/>
              <w:jc w:val="center"/>
              <w:rPr>
                <w:color w:val="000000"/>
                <w:sz w:val="16"/>
                <w:szCs w:val="16"/>
              </w:rPr>
            </w:pPr>
            <w:r>
              <w:rPr>
                <w:color w:val="000000"/>
                <w:sz w:val="16"/>
                <w:szCs w:val="16"/>
              </w:rPr>
              <w:t>63</w:t>
            </w:r>
          </w:p>
        </w:tc>
        <w:tc>
          <w:tcPr>
            <w:tcW w:w="5981" w:type="dxa"/>
            <w:tcBorders>
              <w:top w:val="single" w:color="000000" w:sz="4" w:space="0"/>
              <w:left w:val="single" w:color="000000" w:sz="4" w:space="0"/>
              <w:bottom w:val="single" w:color="000000" w:sz="4" w:space="0"/>
              <w:right w:val="single" w:color="000000" w:sz="4" w:space="0"/>
            </w:tcBorders>
            <w:vAlign w:val="center"/>
          </w:tcPr>
          <w:p w14:paraId="4B9FA6DC">
            <w:pPr>
              <w:spacing w:line="240" w:lineRule="auto"/>
              <w:rPr>
                <w:rFonts w:eastAsia="Times New Roman"/>
                <w:color w:val="000000"/>
                <w:sz w:val="16"/>
                <w:szCs w:val="16"/>
              </w:rPr>
            </w:pPr>
            <w:r>
              <w:rPr>
                <w:sz w:val="16"/>
                <w:szCs w:val="16"/>
              </w:rPr>
              <w:t>AV. OTAVIANO MUNIZ - CÓRREGO LOURENCINHO [Sentido:</w:t>
            </w:r>
            <w:r>
              <w:rPr>
                <w:sz w:val="16"/>
                <w:szCs w:val="16"/>
              </w:rPr>
              <w:br w:type="textWrapping"/>
            </w:r>
            <w:r>
              <w:rPr>
                <w:sz w:val="16"/>
                <w:szCs w:val="16"/>
              </w:rPr>
              <w:t>Bairro / 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6D1141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DFBE1AF">
            <w:pPr>
              <w:spacing w:line="240" w:lineRule="auto"/>
              <w:jc w:val="center"/>
              <w:rPr>
                <w:b/>
                <w:color w:val="000000"/>
                <w:sz w:val="16"/>
                <w:szCs w:val="16"/>
              </w:rPr>
            </w:pPr>
            <w:r>
              <w:rPr>
                <w:color w:val="000000"/>
                <w:sz w:val="16"/>
                <w:szCs w:val="16"/>
              </w:rPr>
              <w:t>2</w:t>
            </w:r>
          </w:p>
        </w:tc>
      </w:tr>
      <w:tr w14:paraId="10D7957A">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84B52C6">
            <w:pPr>
              <w:spacing w:line="240" w:lineRule="auto"/>
              <w:jc w:val="center"/>
              <w:rPr>
                <w:color w:val="000000"/>
                <w:sz w:val="16"/>
                <w:szCs w:val="16"/>
              </w:rPr>
            </w:pPr>
            <w:r>
              <w:rPr>
                <w:color w:val="000000"/>
                <w:sz w:val="16"/>
                <w:szCs w:val="16"/>
              </w:rPr>
              <w:t>64</w:t>
            </w:r>
          </w:p>
        </w:tc>
        <w:tc>
          <w:tcPr>
            <w:tcW w:w="5981" w:type="dxa"/>
            <w:tcBorders>
              <w:top w:val="single" w:color="000000" w:sz="4" w:space="0"/>
              <w:left w:val="single" w:color="000000" w:sz="4" w:space="0"/>
              <w:bottom w:val="single" w:color="000000" w:sz="4" w:space="0"/>
              <w:right w:val="single" w:color="000000" w:sz="4" w:space="0"/>
            </w:tcBorders>
            <w:vAlign w:val="center"/>
          </w:tcPr>
          <w:p w14:paraId="2CB37456">
            <w:pPr>
              <w:spacing w:line="240" w:lineRule="auto"/>
              <w:rPr>
                <w:rFonts w:eastAsia="Times New Roman"/>
                <w:color w:val="000000"/>
                <w:sz w:val="16"/>
                <w:szCs w:val="16"/>
              </w:rPr>
            </w:pPr>
            <w:r>
              <w:rPr>
                <w:sz w:val="16"/>
                <w:szCs w:val="16"/>
              </w:rPr>
              <w:t>AV. GOVERNADOR JULIO CAMPOS - CENTRO ESPÍRITA LUZ</w:t>
            </w:r>
            <w:r>
              <w:rPr>
                <w:sz w:val="16"/>
                <w:szCs w:val="16"/>
              </w:rPr>
              <w:br w:type="textWrapping"/>
            </w:r>
            <w:r>
              <w:rPr>
                <w:sz w:val="16"/>
                <w:szCs w:val="16"/>
              </w:rPr>
              <w:t>DO CAMINHO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7B82CB20">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3B77A31">
            <w:pPr>
              <w:spacing w:line="240" w:lineRule="auto"/>
              <w:jc w:val="center"/>
              <w:rPr>
                <w:b/>
                <w:color w:val="000000"/>
                <w:sz w:val="16"/>
                <w:szCs w:val="16"/>
              </w:rPr>
            </w:pPr>
            <w:r>
              <w:rPr>
                <w:color w:val="000000"/>
                <w:sz w:val="16"/>
                <w:szCs w:val="16"/>
              </w:rPr>
              <w:t>2</w:t>
            </w:r>
          </w:p>
        </w:tc>
      </w:tr>
      <w:tr w14:paraId="26177791">
        <w:tblPrEx>
          <w:tblCellMar>
            <w:top w:w="0" w:type="dxa"/>
            <w:left w:w="70" w:type="dxa"/>
            <w:bottom w:w="0" w:type="dxa"/>
            <w:right w:w="70" w:type="dxa"/>
          </w:tblCellMar>
        </w:tblPrEx>
        <w:trPr>
          <w:trHeight w:val="582"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98E1D79">
            <w:pPr>
              <w:spacing w:line="240" w:lineRule="auto"/>
              <w:jc w:val="center"/>
              <w:rPr>
                <w:color w:val="000000"/>
                <w:sz w:val="16"/>
                <w:szCs w:val="16"/>
              </w:rPr>
            </w:pPr>
            <w:r>
              <w:rPr>
                <w:color w:val="000000"/>
                <w:sz w:val="16"/>
                <w:szCs w:val="16"/>
              </w:rPr>
              <w:t>65</w:t>
            </w:r>
          </w:p>
        </w:tc>
        <w:tc>
          <w:tcPr>
            <w:tcW w:w="5981" w:type="dxa"/>
            <w:tcBorders>
              <w:top w:val="single" w:color="000000" w:sz="4" w:space="0"/>
              <w:left w:val="single" w:color="000000" w:sz="4" w:space="0"/>
              <w:bottom w:val="single" w:color="000000" w:sz="4" w:space="0"/>
              <w:right w:val="single" w:color="000000" w:sz="4" w:space="0"/>
            </w:tcBorders>
            <w:vAlign w:val="center"/>
          </w:tcPr>
          <w:p w14:paraId="1C0D6E9F">
            <w:pPr>
              <w:spacing w:line="240" w:lineRule="auto"/>
              <w:rPr>
                <w:rFonts w:eastAsia="Times New Roman"/>
                <w:color w:val="000000"/>
                <w:sz w:val="16"/>
                <w:szCs w:val="16"/>
              </w:rPr>
            </w:pPr>
            <w:r>
              <w:rPr>
                <w:sz w:val="16"/>
                <w:szCs w:val="16"/>
              </w:rPr>
              <w:t>AV. GOVERNADOR JULIO CAMPOS - CENTRO ESPÍRITA LUZ</w:t>
            </w:r>
            <w:r>
              <w:rPr>
                <w:sz w:val="16"/>
                <w:szCs w:val="16"/>
              </w:rPr>
              <w:br w:type="textWrapping"/>
            </w:r>
            <w:r>
              <w:rPr>
                <w:sz w:val="16"/>
                <w:szCs w:val="16"/>
              </w:rPr>
              <w:t>DO CAMINHO - [Sentido: Bairro 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A597E10">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645FD68">
            <w:pPr>
              <w:spacing w:line="240" w:lineRule="auto"/>
              <w:jc w:val="center"/>
              <w:rPr>
                <w:b/>
                <w:color w:val="000000"/>
                <w:sz w:val="16"/>
                <w:szCs w:val="16"/>
              </w:rPr>
            </w:pPr>
            <w:r>
              <w:rPr>
                <w:color w:val="000000"/>
                <w:sz w:val="16"/>
                <w:szCs w:val="16"/>
              </w:rPr>
              <w:t>2</w:t>
            </w:r>
          </w:p>
        </w:tc>
      </w:tr>
      <w:tr w14:paraId="0AA68859">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D52C805">
            <w:pPr>
              <w:spacing w:line="240" w:lineRule="auto"/>
              <w:jc w:val="center"/>
              <w:rPr>
                <w:color w:val="000000"/>
                <w:sz w:val="16"/>
                <w:szCs w:val="16"/>
              </w:rPr>
            </w:pPr>
            <w:r>
              <w:rPr>
                <w:color w:val="000000"/>
                <w:sz w:val="16"/>
                <w:szCs w:val="16"/>
              </w:rPr>
              <w:t>66</w:t>
            </w:r>
          </w:p>
        </w:tc>
        <w:tc>
          <w:tcPr>
            <w:tcW w:w="5981" w:type="dxa"/>
            <w:tcBorders>
              <w:top w:val="single" w:color="000000" w:sz="4" w:space="0"/>
              <w:left w:val="single" w:color="000000" w:sz="4" w:space="0"/>
              <w:bottom w:val="single" w:color="000000" w:sz="4" w:space="0"/>
              <w:right w:val="single" w:color="000000" w:sz="4" w:space="0"/>
            </w:tcBorders>
            <w:vAlign w:val="center"/>
          </w:tcPr>
          <w:p w14:paraId="1BD0598F">
            <w:pPr>
              <w:spacing w:line="240" w:lineRule="auto"/>
              <w:rPr>
                <w:rFonts w:eastAsia="Times New Roman"/>
                <w:color w:val="000000"/>
                <w:sz w:val="16"/>
                <w:szCs w:val="16"/>
              </w:rPr>
            </w:pPr>
            <w:r>
              <w:rPr>
                <w:sz w:val="16"/>
                <w:szCs w:val="16"/>
              </w:rPr>
              <w:t>AV. RIO BRANCO - BAIRRO JOSÉ SOBRINHO - CONVENIÊNCIA LDAA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308929A">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1AECD4A5">
            <w:pPr>
              <w:spacing w:line="240" w:lineRule="auto"/>
              <w:jc w:val="center"/>
              <w:rPr>
                <w:b/>
                <w:color w:val="000000"/>
                <w:sz w:val="16"/>
                <w:szCs w:val="16"/>
              </w:rPr>
            </w:pPr>
            <w:r>
              <w:rPr>
                <w:color w:val="000000"/>
                <w:sz w:val="16"/>
                <w:szCs w:val="16"/>
              </w:rPr>
              <w:t>2</w:t>
            </w:r>
          </w:p>
        </w:tc>
      </w:tr>
      <w:tr w14:paraId="40B3826F">
        <w:tblPrEx>
          <w:tblCellMar>
            <w:top w:w="0" w:type="dxa"/>
            <w:left w:w="70" w:type="dxa"/>
            <w:bottom w:w="0" w:type="dxa"/>
            <w:right w:w="70" w:type="dxa"/>
          </w:tblCellMar>
        </w:tblPrEx>
        <w:trPr>
          <w:trHeight w:val="61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1C97FF8">
            <w:pPr>
              <w:spacing w:line="240" w:lineRule="auto"/>
              <w:jc w:val="center"/>
              <w:rPr>
                <w:color w:val="000000"/>
                <w:sz w:val="16"/>
                <w:szCs w:val="16"/>
              </w:rPr>
            </w:pPr>
            <w:r>
              <w:rPr>
                <w:color w:val="000000"/>
                <w:sz w:val="16"/>
                <w:szCs w:val="16"/>
              </w:rPr>
              <w:t>67</w:t>
            </w:r>
          </w:p>
        </w:tc>
        <w:tc>
          <w:tcPr>
            <w:tcW w:w="5981" w:type="dxa"/>
            <w:tcBorders>
              <w:top w:val="single" w:color="000000" w:sz="4" w:space="0"/>
              <w:left w:val="single" w:color="000000" w:sz="4" w:space="0"/>
              <w:bottom w:val="single" w:color="000000" w:sz="4" w:space="0"/>
              <w:right w:val="single" w:color="000000" w:sz="4" w:space="0"/>
            </w:tcBorders>
            <w:vAlign w:val="center"/>
          </w:tcPr>
          <w:p w14:paraId="1A3F2B6E">
            <w:pPr>
              <w:spacing w:line="240" w:lineRule="auto"/>
              <w:rPr>
                <w:rFonts w:eastAsia="Times New Roman"/>
                <w:color w:val="000000"/>
                <w:sz w:val="16"/>
                <w:szCs w:val="16"/>
              </w:rPr>
            </w:pPr>
            <w:r>
              <w:rPr>
                <w:sz w:val="16"/>
                <w:szCs w:val="16"/>
              </w:rPr>
              <w:t>AV. RIO BRANCO - BAIRRO JOSÉ SOBRINHO - CONVENIÊNCIA LDAA -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0471E8BE">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20FA62F8">
            <w:pPr>
              <w:spacing w:line="240" w:lineRule="auto"/>
              <w:jc w:val="center"/>
              <w:rPr>
                <w:b/>
                <w:color w:val="000000"/>
                <w:sz w:val="16"/>
                <w:szCs w:val="16"/>
              </w:rPr>
            </w:pPr>
            <w:r>
              <w:rPr>
                <w:color w:val="000000"/>
                <w:sz w:val="16"/>
                <w:szCs w:val="16"/>
              </w:rPr>
              <w:t>2</w:t>
            </w:r>
          </w:p>
        </w:tc>
      </w:tr>
      <w:tr w14:paraId="6878C49A">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419FBAF5">
            <w:pPr>
              <w:spacing w:line="240" w:lineRule="auto"/>
              <w:jc w:val="center"/>
              <w:rPr>
                <w:color w:val="000000"/>
                <w:sz w:val="16"/>
                <w:szCs w:val="16"/>
              </w:rPr>
            </w:pPr>
            <w:r>
              <w:rPr>
                <w:color w:val="000000"/>
                <w:sz w:val="16"/>
                <w:szCs w:val="16"/>
              </w:rPr>
              <w:t>68</w:t>
            </w:r>
          </w:p>
        </w:tc>
        <w:tc>
          <w:tcPr>
            <w:tcW w:w="5981" w:type="dxa"/>
            <w:tcBorders>
              <w:top w:val="single" w:color="000000" w:sz="4" w:space="0"/>
              <w:left w:val="single" w:color="000000" w:sz="4" w:space="0"/>
              <w:bottom w:val="single" w:color="000000" w:sz="4" w:space="0"/>
              <w:right w:val="single" w:color="000000" w:sz="4" w:space="0"/>
            </w:tcBorders>
            <w:vAlign w:val="center"/>
          </w:tcPr>
          <w:p w14:paraId="27D432A8">
            <w:pPr>
              <w:spacing w:line="240" w:lineRule="auto"/>
              <w:rPr>
                <w:rFonts w:eastAsia="Times New Roman"/>
                <w:color w:val="000000"/>
                <w:sz w:val="16"/>
                <w:szCs w:val="16"/>
              </w:rPr>
            </w:pPr>
            <w:r>
              <w:rPr>
                <w:sz w:val="16"/>
                <w:szCs w:val="16"/>
              </w:rPr>
              <w:t>AV. DOS ESTUDANTES - PRÓXIMO A ROTATÓRIA DO COND.</w:t>
            </w:r>
            <w:r>
              <w:rPr>
                <w:sz w:val="16"/>
                <w:szCs w:val="16"/>
              </w:rPr>
              <w:br w:type="textWrapping"/>
            </w:r>
            <w:r>
              <w:rPr>
                <w:sz w:val="16"/>
                <w:szCs w:val="16"/>
              </w:rPr>
              <w:t>VILLAGE DO CERRADO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12A80EDB">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44EA766">
            <w:pPr>
              <w:spacing w:line="240" w:lineRule="auto"/>
              <w:jc w:val="center"/>
              <w:rPr>
                <w:b/>
                <w:color w:val="000000"/>
                <w:sz w:val="16"/>
                <w:szCs w:val="16"/>
              </w:rPr>
            </w:pPr>
            <w:r>
              <w:rPr>
                <w:color w:val="000000"/>
                <w:sz w:val="16"/>
                <w:szCs w:val="16"/>
              </w:rPr>
              <w:t>2</w:t>
            </w:r>
          </w:p>
        </w:tc>
      </w:tr>
      <w:tr w14:paraId="3FCABF80">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7C1B2BE5">
            <w:pPr>
              <w:spacing w:line="240" w:lineRule="auto"/>
              <w:jc w:val="center"/>
              <w:rPr>
                <w:color w:val="000000"/>
                <w:sz w:val="16"/>
                <w:szCs w:val="16"/>
              </w:rPr>
            </w:pPr>
            <w:r>
              <w:rPr>
                <w:color w:val="000000"/>
                <w:sz w:val="16"/>
                <w:szCs w:val="16"/>
              </w:rPr>
              <w:t>69</w:t>
            </w:r>
          </w:p>
        </w:tc>
        <w:tc>
          <w:tcPr>
            <w:tcW w:w="5981" w:type="dxa"/>
            <w:tcBorders>
              <w:top w:val="single" w:color="000000" w:sz="4" w:space="0"/>
              <w:left w:val="single" w:color="000000" w:sz="4" w:space="0"/>
              <w:bottom w:val="single" w:color="000000" w:sz="4" w:space="0"/>
              <w:right w:val="single" w:color="000000" w:sz="4" w:space="0"/>
            </w:tcBorders>
            <w:vAlign w:val="center"/>
          </w:tcPr>
          <w:p w14:paraId="396FFC3C">
            <w:pPr>
              <w:spacing w:line="240" w:lineRule="auto"/>
              <w:rPr>
                <w:rFonts w:eastAsia="Times New Roman"/>
                <w:color w:val="000000"/>
                <w:sz w:val="16"/>
                <w:szCs w:val="16"/>
              </w:rPr>
            </w:pPr>
            <w:r>
              <w:rPr>
                <w:sz w:val="16"/>
                <w:szCs w:val="16"/>
              </w:rPr>
              <w:t>AV. DOS ESTUDANTES - PRÓXIMO A ROTATÓRIA DO COND.</w:t>
            </w:r>
            <w:r>
              <w:rPr>
                <w:sz w:val="16"/>
                <w:szCs w:val="16"/>
              </w:rPr>
              <w:br w:type="textWrapping"/>
            </w:r>
            <w:r>
              <w:rPr>
                <w:sz w:val="16"/>
                <w:szCs w:val="16"/>
              </w:rPr>
              <w:t>VILLAGE DO CERRADO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182C500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770617C4">
            <w:pPr>
              <w:spacing w:line="240" w:lineRule="auto"/>
              <w:jc w:val="center"/>
              <w:rPr>
                <w:b/>
                <w:color w:val="000000"/>
                <w:sz w:val="16"/>
                <w:szCs w:val="16"/>
              </w:rPr>
            </w:pPr>
            <w:r>
              <w:rPr>
                <w:color w:val="000000"/>
                <w:sz w:val="16"/>
                <w:szCs w:val="16"/>
              </w:rPr>
              <w:t>2</w:t>
            </w:r>
          </w:p>
        </w:tc>
      </w:tr>
      <w:tr w14:paraId="296C642A">
        <w:tblPrEx>
          <w:tblCellMar>
            <w:top w:w="0" w:type="dxa"/>
            <w:left w:w="70" w:type="dxa"/>
            <w:bottom w:w="0" w:type="dxa"/>
            <w:right w:w="70" w:type="dxa"/>
          </w:tblCellMar>
        </w:tblPrEx>
        <w:trPr>
          <w:trHeight w:val="582"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02170BB">
            <w:pPr>
              <w:spacing w:line="240" w:lineRule="auto"/>
              <w:jc w:val="center"/>
              <w:rPr>
                <w:color w:val="000000"/>
                <w:sz w:val="16"/>
                <w:szCs w:val="16"/>
              </w:rPr>
            </w:pPr>
            <w:r>
              <w:rPr>
                <w:color w:val="000000"/>
                <w:sz w:val="16"/>
                <w:szCs w:val="16"/>
              </w:rPr>
              <w:t>70</w:t>
            </w:r>
          </w:p>
        </w:tc>
        <w:tc>
          <w:tcPr>
            <w:tcW w:w="5981" w:type="dxa"/>
            <w:tcBorders>
              <w:top w:val="single" w:color="000000" w:sz="4" w:space="0"/>
              <w:left w:val="single" w:color="000000" w:sz="4" w:space="0"/>
              <w:bottom w:val="single" w:color="000000" w:sz="4" w:space="0"/>
              <w:right w:val="single" w:color="000000" w:sz="4" w:space="0"/>
            </w:tcBorders>
            <w:vAlign w:val="center"/>
          </w:tcPr>
          <w:p w14:paraId="7DEEB0F6">
            <w:pPr>
              <w:spacing w:line="240" w:lineRule="auto"/>
              <w:rPr>
                <w:b/>
                <w:sz w:val="16"/>
                <w:szCs w:val="16"/>
              </w:rPr>
            </w:pPr>
            <w:r>
              <w:rPr>
                <w:sz w:val="16"/>
                <w:szCs w:val="16"/>
              </w:rPr>
              <w:t>Av. Dos bandeirantes altura 4200 prox Assaí Atacadista centro 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907D74F">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4CDBDAF9">
            <w:pPr>
              <w:spacing w:line="240" w:lineRule="auto"/>
              <w:jc w:val="center"/>
              <w:rPr>
                <w:b/>
                <w:color w:val="000000"/>
                <w:sz w:val="16"/>
                <w:szCs w:val="16"/>
              </w:rPr>
            </w:pPr>
            <w:r>
              <w:rPr>
                <w:color w:val="000000"/>
                <w:sz w:val="16"/>
                <w:szCs w:val="16"/>
              </w:rPr>
              <w:t>2</w:t>
            </w:r>
          </w:p>
        </w:tc>
      </w:tr>
      <w:tr w14:paraId="0411886A">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E4B73B4">
            <w:pPr>
              <w:spacing w:line="240" w:lineRule="auto"/>
              <w:jc w:val="center"/>
              <w:rPr>
                <w:color w:val="000000"/>
                <w:sz w:val="16"/>
                <w:szCs w:val="16"/>
              </w:rPr>
            </w:pPr>
            <w:r>
              <w:rPr>
                <w:color w:val="000000"/>
                <w:sz w:val="16"/>
                <w:szCs w:val="16"/>
              </w:rPr>
              <w:t>71</w:t>
            </w:r>
          </w:p>
        </w:tc>
        <w:tc>
          <w:tcPr>
            <w:tcW w:w="5981" w:type="dxa"/>
            <w:tcBorders>
              <w:top w:val="single" w:color="000000" w:sz="4" w:space="0"/>
              <w:left w:val="single" w:color="000000" w:sz="4" w:space="0"/>
              <w:bottom w:val="single" w:color="000000" w:sz="4" w:space="0"/>
              <w:right w:val="single" w:color="000000" w:sz="4" w:space="0"/>
            </w:tcBorders>
            <w:vAlign w:val="center"/>
          </w:tcPr>
          <w:p w14:paraId="6FA28F10">
            <w:pPr>
              <w:spacing w:line="240" w:lineRule="auto"/>
              <w:rPr>
                <w:b/>
                <w:sz w:val="16"/>
                <w:szCs w:val="16"/>
              </w:rPr>
            </w:pPr>
            <w:r>
              <w:rPr>
                <w:sz w:val="16"/>
                <w:szCs w:val="16"/>
              </w:rPr>
              <w:t>Av. Dos bandeirantes altura 4200 prox Assaí Atacadista Bairro 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A574E60">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12669291">
            <w:pPr>
              <w:spacing w:line="240" w:lineRule="auto"/>
              <w:jc w:val="center"/>
              <w:rPr>
                <w:b/>
                <w:color w:val="000000"/>
                <w:sz w:val="16"/>
                <w:szCs w:val="16"/>
              </w:rPr>
            </w:pPr>
            <w:r>
              <w:rPr>
                <w:color w:val="000000"/>
                <w:sz w:val="16"/>
                <w:szCs w:val="16"/>
              </w:rPr>
              <w:t>2</w:t>
            </w:r>
          </w:p>
        </w:tc>
      </w:tr>
      <w:tr w14:paraId="65F58BCE">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2FAB05C7">
            <w:pPr>
              <w:spacing w:line="240" w:lineRule="auto"/>
              <w:jc w:val="center"/>
              <w:rPr>
                <w:color w:val="000000"/>
                <w:sz w:val="16"/>
                <w:szCs w:val="16"/>
              </w:rPr>
            </w:pPr>
            <w:r>
              <w:rPr>
                <w:color w:val="000000"/>
                <w:sz w:val="16"/>
                <w:szCs w:val="16"/>
              </w:rPr>
              <w:t>72</w:t>
            </w:r>
          </w:p>
        </w:tc>
        <w:tc>
          <w:tcPr>
            <w:tcW w:w="5981" w:type="dxa"/>
            <w:tcBorders>
              <w:top w:val="single" w:color="000000" w:sz="4" w:space="0"/>
              <w:left w:val="single" w:color="000000" w:sz="4" w:space="0"/>
              <w:bottom w:val="single" w:color="000000" w:sz="4" w:space="0"/>
              <w:right w:val="single" w:color="000000" w:sz="4" w:space="0"/>
            </w:tcBorders>
            <w:vAlign w:val="center"/>
          </w:tcPr>
          <w:p w14:paraId="4F0970C5">
            <w:pPr>
              <w:spacing w:line="240" w:lineRule="auto"/>
              <w:rPr>
                <w:b/>
                <w:sz w:val="16"/>
                <w:szCs w:val="16"/>
              </w:rPr>
            </w:pPr>
            <w:r>
              <w:rPr>
                <w:sz w:val="16"/>
                <w:szCs w:val="16"/>
              </w:rPr>
              <w:t>RUA CORREDOR PÚBLICO</w:t>
            </w:r>
          </w:p>
        </w:tc>
        <w:tc>
          <w:tcPr>
            <w:tcW w:w="1276" w:type="dxa"/>
            <w:tcBorders>
              <w:top w:val="single" w:color="000000" w:sz="4" w:space="0"/>
              <w:left w:val="single" w:color="000000" w:sz="4" w:space="0"/>
              <w:bottom w:val="single" w:color="000000" w:sz="4" w:space="0"/>
              <w:right w:val="single" w:color="000000" w:sz="4" w:space="0"/>
            </w:tcBorders>
            <w:vAlign w:val="center"/>
          </w:tcPr>
          <w:p w14:paraId="3838085D">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8A5A69C">
            <w:pPr>
              <w:spacing w:line="240" w:lineRule="auto"/>
              <w:jc w:val="center"/>
              <w:rPr>
                <w:b/>
                <w:color w:val="000000"/>
                <w:sz w:val="16"/>
                <w:szCs w:val="16"/>
              </w:rPr>
            </w:pPr>
            <w:r>
              <w:rPr>
                <w:color w:val="000000"/>
                <w:sz w:val="16"/>
                <w:szCs w:val="16"/>
              </w:rPr>
              <w:t>2</w:t>
            </w:r>
          </w:p>
        </w:tc>
      </w:tr>
      <w:tr w14:paraId="0F890A2B">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18015593">
            <w:pPr>
              <w:spacing w:line="240" w:lineRule="auto"/>
              <w:jc w:val="center"/>
              <w:rPr>
                <w:color w:val="000000"/>
                <w:sz w:val="16"/>
                <w:szCs w:val="16"/>
              </w:rPr>
            </w:pPr>
            <w:r>
              <w:rPr>
                <w:color w:val="000000"/>
                <w:sz w:val="16"/>
                <w:szCs w:val="16"/>
              </w:rPr>
              <w:t>73</w:t>
            </w:r>
          </w:p>
        </w:tc>
        <w:tc>
          <w:tcPr>
            <w:tcW w:w="5981" w:type="dxa"/>
            <w:tcBorders>
              <w:top w:val="single" w:color="000000" w:sz="4" w:space="0"/>
              <w:left w:val="single" w:color="000000" w:sz="4" w:space="0"/>
              <w:bottom w:val="single" w:color="000000" w:sz="4" w:space="0"/>
              <w:right w:val="single" w:color="000000" w:sz="4" w:space="0"/>
            </w:tcBorders>
            <w:vAlign w:val="center"/>
          </w:tcPr>
          <w:p w14:paraId="063CA5EC">
            <w:pPr>
              <w:spacing w:line="240" w:lineRule="auto"/>
              <w:rPr>
                <w:b/>
                <w:sz w:val="16"/>
                <w:szCs w:val="16"/>
              </w:rPr>
            </w:pPr>
            <w:r>
              <w:rPr>
                <w:sz w:val="16"/>
                <w:szCs w:val="16"/>
              </w:rPr>
              <w:t>AV DOS ESTUDANTES PROX 2° CIRETRAN BAIRRO 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FB60714">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53A7AE2">
            <w:pPr>
              <w:spacing w:line="240" w:lineRule="auto"/>
              <w:jc w:val="center"/>
              <w:rPr>
                <w:b/>
                <w:color w:val="000000"/>
                <w:sz w:val="16"/>
                <w:szCs w:val="16"/>
              </w:rPr>
            </w:pPr>
            <w:r>
              <w:rPr>
                <w:color w:val="000000"/>
                <w:sz w:val="16"/>
                <w:szCs w:val="16"/>
              </w:rPr>
              <w:t>2</w:t>
            </w:r>
          </w:p>
        </w:tc>
      </w:tr>
      <w:tr w14:paraId="2E87EDD7">
        <w:tblPrEx>
          <w:tblCellMar>
            <w:top w:w="0" w:type="dxa"/>
            <w:left w:w="70" w:type="dxa"/>
            <w:bottom w:w="0" w:type="dxa"/>
            <w:right w:w="70" w:type="dxa"/>
          </w:tblCellMar>
        </w:tblPrEx>
        <w:trPr>
          <w:trHeight w:val="72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1757D3D6">
            <w:pPr>
              <w:spacing w:line="240" w:lineRule="auto"/>
              <w:jc w:val="center"/>
              <w:rPr>
                <w:color w:val="000000"/>
                <w:sz w:val="16"/>
                <w:szCs w:val="16"/>
              </w:rPr>
            </w:pPr>
            <w:r>
              <w:rPr>
                <w:color w:val="000000"/>
                <w:sz w:val="16"/>
                <w:szCs w:val="16"/>
              </w:rPr>
              <w:t>74</w:t>
            </w:r>
          </w:p>
        </w:tc>
        <w:tc>
          <w:tcPr>
            <w:tcW w:w="5981" w:type="dxa"/>
            <w:tcBorders>
              <w:top w:val="single" w:color="000000" w:sz="4" w:space="0"/>
              <w:left w:val="single" w:color="000000" w:sz="4" w:space="0"/>
              <w:bottom w:val="single" w:color="000000" w:sz="4" w:space="0"/>
              <w:right w:val="single" w:color="000000" w:sz="4" w:space="0"/>
            </w:tcBorders>
            <w:vAlign w:val="center"/>
          </w:tcPr>
          <w:p w14:paraId="1F6685C5">
            <w:pPr>
              <w:spacing w:line="240" w:lineRule="auto"/>
              <w:rPr>
                <w:b/>
                <w:sz w:val="16"/>
                <w:szCs w:val="16"/>
              </w:rPr>
            </w:pPr>
            <w:r>
              <w:rPr>
                <w:sz w:val="16"/>
                <w:szCs w:val="16"/>
              </w:rPr>
              <w:t>AV DOS ESTUDANTES PROX 2° CIRETRAN CENTRO 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3B26A5EB">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4B7E98F">
            <w:pPr>
              <w:spacing w:line="240" w:lineRule="auto"/>
              <w:jc w:val="center"/>
              <w:rPr>
                <w:b/>
                <w:color w:val="000000"/>
                <w:sz w:val="16"/>
                <w:szCs w:val="16"/>
              </w:rPr>
            </w:pPr>
            <w:r>
              <w:rPr>
                <w:color w:val="000000"/>
                <w:sz w:val="16"/>
                <w:szCs w:val="16"/>
              </w:rPr>
              <w:t>2</w:t>
            </w:r>
          </w:p>
        </w:tc>
      </w:tr>
      <w:tr w14:paraId="73FA2CB3">
        <w:tblPrEx>
          <w:tblCellMar>
            <w:top w:w="0" w:type="dxa"/>
            <w:left w:w="70" w:type="dxa"/>
            <w:bottom w:w="0" w:type="dxa"/>
            <w:right w:w="70" w:type="dxa"/>
          </w:tblCellMar>
        </w:tblPrEx>
        <w:trPr>
          <w:trHeight w:val="600"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2FBC113F">
            <w:pPr>
              <w:spacing w:line="240" w:lineRule="auto"/>
              <w:jc w:val="center"/>
              <w:rPr>
                <w:color w:val="000000"/>
                <w:sz w:val="16"/>
                <w:szCs w:val="16"/>
              </w:rPr>
            </w:pPr>
            <w:r>
              <w:rPr>
                <w:color w:val="000000"/>
                <w:sz w:val="16"/>
                <w:szCs w:val="16"/>
              </w:rPr>
              <w:t>75</w:t>
            </w:r>
          </w:p>
        </w:tc>
        <w:tc>
          <w:tcPr>
            <w:tcW w:w="5981" w:type="dxa"/>
            <w:tcBorders>
              <w:top w:val="single" w:color="000000" w:sz="4" w:space="0"/>
              <w:left w:val="single" w:color="000000" w:sz="4" w:space="0"/>
              <w:bottom w:val="single" w:color="000000" w:sz="4" w:space="0"/>
              <w:right w:val="single" w:color="000000" w:sz="4" w:space="0"/>
            </w:tcBorders>
            <w:vAlign w:val="center"/>
          </w:tcPr>
          <w:p w14:paraId="5CEE63F1">
            <w:pPr>
              <w:spacing w:line="240" w:lineRule="auto"/>
              <w:rPr>
                <w:b/>
                <w:sz w:val="16"/>
                <w:szCs w:val="16"/>
              </w:rPr>
            </w:pPr>
            <w:r>
              <w:rPr>
                <w:sz w:val="16"/>
                <w:szCs w:val="16"/>
              </w:rPr>
              <w:t>AV JOSE PINTO, ALT 500</w:t>
            </w:r>
          </w:p>
        </w:tc>
        <w:tc>
          <w:tcPr>
            <w:tcW w:w="1276" w:type="dxa"/>
            <w:tcBorders>
              <w:top w:val="single" w:color="000000" w:sz="4" w:space="0"/>
              <w:left w:val="single" w:color="000000" w:sz="4" w:space="0"/>
              <w:bottom w:val="single" w:color="000000" w:sz="4" w:space="0"/>
              <w:right w:val="single" w:color="000000" w:sz="4" w:space="0"/>
            </w:tcBorders>
            <w:vAlign w:val="center"/>
          </w:tcPr>
          <w:p w14:paraId="407D0E6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189DACC8">
            <w:pPr>
              <w:spacing w:line="240" w:lineRule="auto"/>
              <w:jc w:val="center"/>
              <w:rPr>
                <w:b/>
                <w:color w:val="000000"/>
                <w:sz w:val="16"/>
                <w:szCs w:val="16"/>
              </w:rPr>
            </w:pPr>
            <w:r>
              <w:rPr>
                <w:color w:val="000000"/>
                <w:sz w:val="16"/>
                <w:szCs w:val="16"/>
              </w:rPr>
              <w:t>2</w:t>
            </w:r>
          </w:p>
        </w:tc>
      </w:tr>
      <w:tr w14:paraId="1E3815CC">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F91CA22">
            <w:pPr>
              <w:spacing w:line="240" w:lineRule="auto"/>
              <w:jc w:val="center"/>
              <w:rPr>
                <w:color w:val="000000"/>
                <w:sz w:val="16"/>
                <w:szCs w:val="16"/>
              </w:rPr>
            </w:pPr>
            <w:r>
              <w:rPr>
                <w:color w:val="000000"/>
                <w:sz w:val="16"/>
                <w:szCs w:val="16"/>
              </w:rPr>
              <w:t>76</w:t>
            </w:r>
          </w:p>
        </w:tc>
        <w:tc>
          <w:tcPr>
            <w:tcW w:w="5981" w:type="dxa"/>
            <w:tcBorders>
              <w:top w:val="single" w:color="000000" w:sz="4" w:space="0"/>
              <w:left w:val="single" w:color="000000" w:sz="4" w:space="0"/>
              <w:bottom w:val="single" w:color="000000" w:sz="4" w:space="0"/>
              <w:right w:val="single" w:color="000000" w:sz="4" w:space="0"/>
            </w:tcBorders>
            <w:vAlign w:val="center"/>
          </w:tcPr>
          <w:p w14:paraId="770464F9">
            <w:pPr>
              <w:spacing w:line="240" w:lineRule="auto"/>
              <w:rPr>
                <w:b/>
                <w:sz w:val="16"/>
                <w:szCs w:val="16"/>
              </w:rPr>
            </w:pPr>
            <w:r>
              <w:rPr>
                <w:sz w:val="16"/>
                <w:szCs w:val="16"/>
              </w:rPr>
              <w:t>AV. JOSE PINTO, ALT 1300</w:t>
            </w:r>
          </w:p>
        </w:tc>
        <w:tc>
          <w:tcPr>
            <w:tcW w:w="1276" w:type="dxa"/>
            <w:tcBorders>
              <w:top w:val="single" w:color="000000" w:sz="4" w:space="0"/>
              <w:left w:val="single" w:color="000000" w:sz="4" w:space="0"/>
              <w:bottom w:val="single" w:color="000000" w:sz="4" w:space="0"/>
              <w:right w:val="single" w:color="000000" w:sz="4" w:space="0"/>
            </w:tcBorders>
            <w:vAlign w:val="center"/>
          </w:tcPr>
          <w:p w14:paraId="7EA29080">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3D8E7C01">
            <w:pPr>
              <w:spacing w:line="240" w:lineRule="auto"/>
              <w:jc w:val="center"/>
              <w:rPr>
                <w:b/>
                <w:color w:val="000000"/>
                <w:sz w:val="16"/>
                <w:szCs w:val="16"/>
              </w:rPr>
            </w:pPr>
            <w:r>
              <w:rPr>
                <w:color w:val="000000"/>
                <w:sz w:val="16"/>
                <w:szCs w:val="16"/>
              </w:rPr>
              <w:t>2</w:t>
            </w:r>
          </w:p>
        </w:tc>
      </w:tr>
      <w:tr w14:paraId="32AEE52C">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8A8E802">
            <w:pPr>
              <w:spacing w:line="240" w:lineRule="auto"/>
              <w:jc w:val="center"/>
              <w:rPr>
                <w:color w:val="000000"/>
                <w:sz w:val="16"/>
                <w:szCs w:val="16"/>
              </w:rPr>
            </w:pPr>
            <w:r>
              <w:rPr>
                <w:color w:val="000000"/>
                <w:sz w:val="16"/>
                <w:szCs w:val="16"/>
              </w:rPr>
              <w:t>77</w:t>
            </w:r>
          </w:p>
        </w:tc>
        <w:tc>
          <w:tcPr>
            <w:tcW w:w="5981" w:type="dxa"/>
            <w:tcBorders>
              <w:top w:val="single" w:color="000000" w:sz="4" w:space="0"/>
              <w:left w:val="single" w:color="000000" w:sz="4" w:space="0"/>
              <w:bottom w:val="single" w:color="000000" w:sz="4" w:space="0"/>
              <w:right w:val="single" w:color="000000" w:sz="4" w:space="0"/>
            </w:tcBorders>
            <w:vAlign w:val="center"/>
          </w:tcPr>
          <w:p w14:paraId="32D977B5">
            <w:pPr>
              <w:spacing w:line="240" w:lineRule="auto"/>
              <w:rPr>
                <w:b/>
                <w:sz w:val="16"/>
                <w:szCs w:val="16"/>
              </w:rPr>
            </w:pPr>
            <w:r>
              <w:rPr>
                <w:sz w:val="16"/>
                <w:szCs w:val="16"/>
              </w:rPr>
              <w:t>AV DOS ESTUDANTES PROX AV RIO BEIRA RIO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BD23292">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29EAE062">
            <w:pPr>
              <w:spacing w:line="240" w:lineRule="auto"/>
              <w:jc w:val="center"/>
              <w:rPr>
                <w:b/>
                <w:color w:val="000000"/>
                <w:sz w:val="16"/>
                <w:szCs w:val="16"/>
                <w:highlight w:val="yellow"/>
              </w:rPr>
            </w:pPr>
            <w:r>
              <w:rPr>
                <w:color w:val="000000"/>
                <w:sz w:val="16"/>
                <w:szCs w:val="16"/>
              </w:rPr>
              <w:t>2</w:t>
            </w:r>
          </w:p>
        </w:tc>
      </w:tr>
      <w:tr w14:paraId="79C22919">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7A9A8D17">
            <w:pPr>
              <w:spacing w:line="240" w:lineRule="auto"/>
              <w:jc w:val="center"/>
              <w:rPr>
                <w:color w:val="000000"/>
                <w:sz w:val="16"/>
                <w:szCs w:val="16"/>
              </w:rPr>
            </w:pPr>
            <w:r>
              <w:rPr>
                <w:color w:val="000000"/>
                <w:sz w:val="16"/>
                <w:szCs w:val="16"/>
              </w:rPr>
              <w:t>78</w:t>
            </w:r>
          </w:p>
        </w:tc>
        <w:tc>
          <w:tcPr>
            <w:tcW w:w="5981" w:type="dxa"/>
            <w:tcBorders>
              <w:top w:val="single" w:color="000000" w:sz="4" w:space="0"/>
              <w:left w:val="single" w:color="000000" w:sz="4" w:space="0"/>
              <w:bottom w:val="single" w:color="000000" w:sz="4" w:space="0"/>
              <w:right w:val="single" w:color="000000" w:sz="4" w:space="0"/>
            </w:tcBorders>
            <w:vAlign w:val="center"/>
          </w:tcPr>
          <w:p w14:paraId="1623AFD5">
            <w:pPr>
              <w:spacing w:line="240" w:lineRule="auto"/>
              <w:rPr>
                <w:b/>
                <w:sz w:val="16"/>
                <w:szCs w:val="16"/>
              </w:rPr>
            </w:pPr>
            <w:r>
              <w:rPr>
                <w:sz w:val="16"/>
                <w:szCs w:val="16"/>
              </w:rPr>
              <w:t>AV DOS ESTUDANTES PROX AV RIO BEIRA RIO -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721D373F">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5DD66EB">
            <w:pPr>
              <w:spacing w:line="240" w:lineRule="auto"/>
              <w:jc w:val="center"/>
              <w:rPr>
                <w:b/>
                <w:color w:val="000000"/>
                <w:sz w:val="16"/>
                <w:szCs w:val="16"/>
                <w:highlight w:val="yellow"/>
              </w:rPr>
            </w:pPr>
            <w:r>
              <w:rPr>
                <w:color w:val="000000"/>
                <w:sz w:val="16"/>
                <w:szCs w:val="16"/>
              </w:rPr>
              <w:t>2</w:t>
            </w:r>
          </w:p>
        </w:tc>
      </w:tr>
      <w:tr w14:paraId="6D0B61CB">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28AF9B38">
            <w:pPr>
              <w:spacing w:line="240" w:lineRule="auto"/>
              <w:jc w:val="center"/>
              <w:rPr>
                <w:color w:val="000000"/>
                <w:sz w:val="16"/>
                <w:szCs w:val="16"/>
              </w:rPr>
            </w:pPr>
            <w:r>
              <w:rPr>
                <w:color w:val="000000"/>
                <w:sz w:val="16"/>
                <w:szCs w:val="16"/>
              </w:rPr>
              <w:t>79</w:t>
            </w:r>
          </w:p>
        </w:tc>
        <w:tc>
          <w:tcPr>
            <w:tcW w:w="5981" w:type="dxa"/>
            <w:tcBorders>
              <w:top w:val="single" w:color="000000" w:sz="4" w:space="0"/>
              <w:left w:val="single" w:color="000000" w:sz="4" w:space="0"/>
              <w:bottom w:val="single" w:color="000000" w:sz="4" w:space="0"/>
              <w:right w:val="single" w:color="000000" w:sz="4" w:space="0"/>
            </w:tcBorders>
            <w:vAlign w:val="center"/>
          </w:tcPr>
          <w:p w14:paraId="73E285FD">
            <w:pPr>
              <w:spacing w:line="240" w:lineRule="auto"/>
              <w:rPr>
                <w:b/>
                <w:sz w:val="16"/>
                <w:szCs w:val="16"/>
              </w:rPr>
            </w:pPr>
            <w:r>
              <w:rPr>
                <w:sz w:val="16"/>
                <w:szCs w:val="16"/>
              </w:rPr>
              <w:t>AV RUI BARBOSA PROX R FERNANDO CORRÊA DA COSTA -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43B2229">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7B9A646B">
            <w:pPr>
              <w:spacing w:line="240" w:lineRule="auto"/>
              <w:jc w:val="center"/>
              <w:rPr>
                <w:b/>
                <w:color w:val="000000"/>
                <w:sz w:val="16"/>
                <w:szCs w:val="16"/>
                <w:highlight w:val="yellow"/>
              </w:rPr>
            </w:pPr>
            <w:r>
              <w:rPr>
                <w:color w:val="000000"/>
                <w:sz w:val="16"/>
                <w:szCs w:val="16"/>
              </w:rPr>
              <w:t>2</w:t>
            </w:r>
          </w:p>
        </w:tc>
      </w:tr>
      <w:tr w14:paraId="20DD89A5">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8B38B93">
            <w:pPr>
              <w:spacing w:line="240" w:lineRule="auto"/>
              <w:jc w:val="center"/>
              <w:rPr>
                <w:color w:val="000000"/>
                <w:sz w:val="16"/>
                <w:szCs w:val="16"/>
              </w:rPr>
            </w:pPr>
            <w:r>
              <w:rPr>
                <w:color w:val="000000"/>
                <w:sz w:val="16"/>
                <w:szCs w:val="16"/>
              </w:rPr>
              <w:t>80</w:t>
            </w:r>
          </w:p>
        </w:tc>
        <w:tc>
          <w:tcPr>
            <w:tcW w:w="5981" w:type="dxa"/>
            <w:tcBorders>
              <w:top w:val="single" w:color="000000" w:sz="4" w:space="0"/>
              <w:left w:val="single" w:color="000000" w:sz="4" w:space="0"/>
              <w:bottom w:val="single" w:color="000000" w:sz="4" w:space="0"/>
              <w:right w:val="single" w:color="000000" w:sz="4" w:space="0"/>
            </w:tcBorders>
            <w:vAlign w:val="center"/>
          </w:tcPr>
          <w:p w14:paraId="4AFE76B8">
            <w:pPr>
              <w:spacing w:line="240" w:lineRule="auto"/>
              <w:rPr>
                <w:b/>
                <w:sz w:val="16"/>
                <w:szCs w:val="16"/>
              </w:rPr>
            </w:pPr>
            <w:r>
              <w:rPr>
                <w:sz w:val="16"/>
                <w:szCs w:val="16"/>
              </w:rPr>
              <w:t>AV RUI BARBOSA PROX R FERNANDO CORRÊA DA COSTA -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1F1D5566">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4361FAC1">
            <w:pPr>
              <w:spacing w:line="240" w:lineRule="auto"/>
              <w:jc w:val="center"/>
              <w:rPr>
                <w:b/>
                <w:color w:val="000000"/>
                <w:sz w:val="16"/>
                <w:szCs w:val="16"/>
                <w:highlight w:val="yellow"/>
              </w:rPr>
            </w:pPr>
            <w:r>
              <w:rPr>
                <w:color w:val="000000"/>
                <w:sz w:val="16"/>
                <w:szCs w:val="16"/>
              </w:rPr>
              <w:t>2</w:t>
            </w:r>
          </w:p>
        </w:tc>
      </w:tr>
      <w:tr w14:paraId="1A31BA8D">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DF63603">
            <w:pPr>
              <w:spacing w:line="240" w:lineRule="auto"/>
              <w:jc w:val="center"/>
              <w:rPr>
                <w:color w:val="000000"/>
                <w:sz w:val="16"/>
                <w:szCs w:val="16"/>
              </w:rPr>
            </w:pPr>
            <w:r>
              <w:rPr>
                <w:color w:val="000000"/>
                <w:sz w:val="16"/>
                <w:szCs w:val="16"/>
              </w:rPr>
              <w:t>81</w:t>
            </w:r>
          </w:p>
        </w:tc>
        <w:tc>
          <w:tcPr>
            <w:tcW w:w="5981" w:type="dxa"/>
            <w:tcBorders>
              <w:top w:val="single" w:color="000000" w:sz="4" w:space="0"/>
              <w:left w:val="single" w:color="000000" w:sz="4" w:space="0"/>
              <w:bottom w:val="single" w:color="000000" w:sz="4" w:space="0"/>
              <w:right w:val="single" w:color="000000" w:sz="4" w:space="0"/>
            </w:tcBorders>
            <w:vAlign w:val="center"/>
          </w:tcPr>
          <w:p w14:paraId="1982FE57">
            <w:pPr>
              <w:spacing w:line="240" w:lineRule="auto"/>
              <w:rPr>
                <w:b/>
                <w:sz w:val="16"/>
                <w:szCs w:val="16"/>
              </w:rPr>
            </w:pPr>
            <w:r>
              <w:rPr>
                <w:sz w:val="16"/>
                <w:szCs w:val="16"/>
              </w:rPr>
              <w:t>AV PRESIDENTE KENNEDY PROX R ERLAN ROSA DOS SANTOS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163FCC9">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03E5992B">
            <w:pPr>
              <w:spacing w:line="240" w:lineRule="auto"/>
              <w:jc w:val="center"/>
              <w:rPr>
                <w:b/>
                <w:color w:val="000000"/>
                <w:sz w:val="16"/>
                <w:szCs w:val="16"/>
                <w:highlight w:val="yellow"/>
              </w:rPr>
            </w:pPr>
            <w:r>
              <w:rPr>
                <w:color w:val="000000"/>
                <w:sz w:val="16"/>
                <w:szCs w:val="16"/>
              </w:rPr>
              <w:t>2</w:t>
            </w:r>
          </w:p>
        </w:tc>
      </w:tr>
      <w:tr w14:paraId="2C2C67C6">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00CE61FB">
            <w:pPr>
              <w:spacing w:line="240" w:lineRule="auto"/>
              <w:jc w:val="center"/>
              <w:rPr>
                <w:color w:val="000000"/>
                <w:sz w:val="16"/>
                <w:szCs w:val="16"/>
              </w:rPr>
            </w:pPr>
            <w:r>
              <w:rPr>
                <w:color w:val="000000"/>
                <w:sz w:val="16"/>
                <w:szCs w:val="16"/>
              </w:rPr>
              <w:t>82</w:t>
            </w:r>
          </w:p>
        </w:tc>
        <w:tc>
          <w:tcPr>
            <w:tcW w:w="5981" w:type="dxa"/>
            <w:tcBorders>
              <w:top w:val="single" w:color="000000" w:sz="4" w:space="0"/>
              <w:left w:val="single" w:color="000000" w:sz="4" w:space="0"/>
              <w:bottom w:val="single" w:color="000000" w:sz="4" w:space="0"/>
              <w:right w:val="single" w:color="000000" w:sz="4" w:space="0"/>
            </w:tcBorders>
            <w:vAlign w:val="center"/>
          </w:tcPr>
          <w:p w14:paraId="08919ADA">
            <w:pPr>
              <w:spacing w:line="240" w:lineRule="auto"/>
              <w:rPr>
                <w:b/>
                <w:sz w:val="16"/>
                <w:szCs w:val="16"/>
              </w:rPr>
            </w:pPr>
            <w:r>
              <w:rPr>
                <w:sz w:val="16"/>
                <w:szCs w:val="16"/>
              </w:rPr>
              <w:t>AV PRESIDENTE KENNEDY PROX R ERLAN ROSA DOS SANTOS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54EE474E">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543263D3">
            <w:pPr>
              <w:spacing w:line="240" w:lineRule="auto"/>
              <w:jc w:val="center"/>
              <w:rPr>
                <w:b/>
                <w:color w:val="000000"/>
                <w:sz w:val="16"/>
                <w:szCs w:val="16"/>
                <w:highlight w:val="yellow"/>
              </w:rPr>
            </w:pPr>
            <w:r>
              <w:rPr>
                <w:color w:val="000000"/>
                <w:sz w:val="16"/>
                <w:szCs w:val="16"/>
              </w:rPr>
              <w:t>2</w:t>
            </w:r>
          </w:p>
        </w:tc>
      </w:tr>
      <w:tr w14:paraId="08DEC94B">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E95F3C4">
            <w:pPr>
              <w:spacing w:line="240" w:lineRule="auto"/>
              <w:jc w:val="center"/>
              <w:rPr>
                <w:color w:val="000000"/>
                <w:sz w:val="16"/>
                <w:szCs w:val="16"/>
              </w:rPr>
            </w:pPr>
            <w:r>
              <w:rPr>
                <w:color w:val="000000"/>
                <w:sz w:val="16"/>
                <w:szCs w:val="16"/>
              </w:rPr>
              <w:t>83</w:t>
            </w:r>
          </w:p>
        </w:tc>
        <w:tc>
          <w:tcPr>
            <w:tcW w:w="5981" w:type="dxa"/>
            <w:tcBorders>
              <w:top w:val="single" w:color="000000" w:sz="4" w:space="0"/>
              <w:left w:val="single" w:color="000000" w:sz="4" w:space="0"/>
              <w:bottom w:val="single" w:color="000000" w:sz="4" w:space="0"/>
              <w:right w:val="single" w:color="000000" w:sz="4" w:space="0"/>
            </w:tcBorders>
            <w:vAlign w:val="center"/>
          </w:tcPr>
          <w:p w14:paraId="19B58211">
            <w:pPr>
              <w:spacing w:line="240" w:lineRule="auto"/>
              <w:rPr>
                <w:b/>
                <w:sz w:val="16"/>
                <w:szCs w:val="16"/>
              </w:rPr>
            </w:pPr>
            <w:r>
              <w:rPr>
                <w:sz w:val="16"/>
                <w:szCs w:val="16"/>
              </w:rPr>
              <w:t>AV AMAZONAS PROX R AFONSO PENA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634B942D">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65805F8E">
            <w:pPr>
              <w:spacing w:line="240" w:lineRule="auto"/>
              <w:jc w:val="center"/>
              <w:rPr>
                <w:b/>
                <w:color w:val="000000"/>
                <w:sz w:val="16"/>
                <w:szCs w:val="16"/>
                <w:highlight w:val="yellow"/>
              </w:rPr>
            </w:pPr>
            <w:r>
              <w:rPr>
                <w:color w:val="000000"/>
                <w:sz w:val="16"/>
                <w:szCs w:val="16"/>
              </w:rPr>
              <w:t>2</w:t>
            </w:r>
          </w:p>
        </w:tc>
      </w:tr>
      <w:tr w14:paraId="27D8CFF6">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5DCFBA4">
            <w:pPr>
              <w:spacing w:line="240" w:lineRule="auto"/>
              <w:jc w:val="center"/>
              <w:rPr>
                <w:color w:val="000000"/>
                <w:sz w:val="16"/>
                <w:szCs w:val="16"/>
              </w:rPr>
            </w:pPr>
            <w:r>
              <w:rPr>
                <w:color w:val="000000"/>
                <w:sz w:val="16"/>
                <w:szCs w:val="16"/>
              </w:rPr>
              <w:t>84</w:t>
            </w:r>
          </w:p>
        </w:tc>
        <w:tc>
          <w:tcPr>
            <w:tcW w:w="5981" w:type="dxa"/>
            <w:tcBorders>
              <w:top w:val="single" w:color="000000" w:sz="4" w:space="0"/>
              <w:left w:val="single" w:color="000000" w:sz="4" w:space="0"/>
              <w:bottom w:val="single" w:color="000000" w:sz="4" w:space="0"/>
              <w:right w:val="single" w:color="000000" w:sz="4" w:space="0"/>
            </w:tcBorders>
            <w:vAlign w:val="center"/>
          </w:tcPr>
          <w:p w14:paraId="69AEA1A9">
            <w:pPr>
              <w:spacing w:line="240" w:lineRule="auto"/>
              <w:rPr>
                <w:b/>
                <w:sz w:val="16"/>
                <w:szCs w:val="16"/>
              </w:rPr>
            </w:pPr>
            <w:r>
              <w:rPr>
                <w:sz w:val="16"/>
                <w:szCs w:val="16"/>
              </w:rPr>
              <w:t>AV AMAZONAS PROX R AFONSO PENA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6B7CBD7D">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2B7E503C">
            <w:pPr>
              <w:spacing w:line="240" w:lineRule="auto"/>
              <w:jc w:val="center"/>
              <w:rPr>
                <w:b/>
                <w:color w:val="000000"/>
                <w:sz w:val="16"/>
                <w:szCs w:val="16"/>
                <w:highlight w:val="yellow"/>
              </w:rPr>
            </w:pPr>
            <w:r>
              <w:rPr>
                <w:color w:val="000000"/>
                <w:sz w:val="16"/>
                <w:szCs w:val="16"/>
              </w:rPr>
              <w:t>2</w:t>
            </w:r>
          </w:p>
        </w:tc>
      </w:tr>
      <w:tr w14:paraId="00D5847A">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43AED2C1">
            <w:pPr>
              <w:spacing w:line="240" w:lineRule="auto"/>
              <w:jc w:val="center"/>
              <w:rPr>
                <w:color w:val="000000"/>
                <w:sz w:val="16"/>
                <w:szCs w:val="16"/>
              </w:rPr>
            </w:pPr>
            <w:r>
              <w:rPr>
                <w:color w:val="000000"/>
                <w:sz w:val="16"/>
                <w:szCs w:val="16"/>
              </w:rPr>
              <w:t>85</w:t>
            </w:r>
          </w:p>
        </w:tc>
        <w:tc>
          <w:tcPr>
            <w:tcW w:w="5981" w:type="dxa"/>
            <w:tcBorders>
              <w:top w:val="single" w:color="000000" w:sz="4" w:space="0"/>
              <w:left w:val="single" w:color="000000" w:sz="4" w:space="0"/>
              <w:bottom w:val="single" w:color="000000" w:sz="4" w:space="0"/>
              <w:right w:val="single" w:color="000000" w:sz="4" w:space="0"/>
            </w:tcBorders>
            <w:vAlign w:val="center"/>
          </w:tcPr>
          <w:p w14:paraId="24D80D68">
            <w:pPr>
              <w:spacing w:line="240" w:lineRule="auto"/>
              <w:rPr>
                <w:b/>
                <w:sz w:val="16"/>
                <w:szCs w:val="16"/>
              </w:rPr>
            </w:pPr>
            <w:r>
              <w:rPr>
                <w:sz w:val="16"/>
                <w:szCs w:val="16"/>
              </w:rPr>
              <w:t>AV ARY COELHO PROX AV RACHIDE MAMEDE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0F8719B6">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4CF2272B">
            <w:pPr>
              <w:spacing w:line="240" w:lineRule="auto"/>
              <w:jc w:val="center"/>
              <w:rPr>
                <w:b/>
                <w:color w:val="000000"/>
                <w:sz w:val="16"/>
                <w:szCs w:val="16"/>
                <w:highlight w:val="yellow"/>
              </w:rPr>
            </w:pPr>
            <w:r>
              <w:rPr>
                <w:color w:val="000000"/>
                <w:sz w:val="16"/>
                <w:szCs w:val="16"/>
              </w:rPr>
              <w:t>2</w:t>
            </w:r>
          </w:p>
        </w:tc>
      </w:tr>
      <w:tr w14:paraId="621A15E7">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1A47E65C">
            <w:pPr>
              <w:spacing w:line="240" w:lineRule="auto"/>
              <w:jc w:val="center"/>
              <w:rPr>
                <w:color w:val="000000"/>
                <w:sz w:val="16"/>
                <w:szCs w:val="16"/>
              </w:rPr>
            </w:pPr>
            <w:r>
              <w:rPr>
                <w:color w:val="000000"/>
                <w:sz w:val="16"/>
                <w:szCs w:val="16"/>
              </w:rPr>
              <w:t>86</w:t>
            </w:r>
          </w:p>
        </w:tc>
        <w:tc>
          <w:tcPr>
            <w:tcW w:w="5981" w:type="dxa"/>
            <w:tcBorders>
              <w:top w:val="single" w:color="000000" w:sz="4" w:space="0"/>
              <w:left w:val="single" w:color="000000" w:sz="4" w:space="0"/>
              <w:bottom w:val="single" w:color="000000" w:sz="4" w:space="0"/>
              <w:right w:val="single" w:color="000000" w:sz="4" w:space="0"/>
            </w:tcBorders>
            <w:vAlign w:val="center"/>
          </w:tcPr>
          <w:p w14:paraId="535D0714">
            <w:pPr>
              <w:spacing w:line="240" w:lineRule="auto"/>
              <w:rPr>
                <w:b/>
                <w:sz w:val="16"/>
                <w:szCs w:val="16"/>
              </w:rPr>
            </w:pPr>
            <w:r>
              <w:rPr>
                <w:sz w:val="16"/>
                <w:szCs w:val="16"/>
              </w:rPr>
              <w:t>AV ARY COELHO PROX AV RACHIDE MAMEDE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32E55D53">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243A0D39">
            <w:pPr>
              <w:spacing w:line="240" w:lineRule="auto"/>
              <w:jc w:val="center"/>
              <w:rPr>
                <w:b/>
                <w:color w:val="000000"/>
                <w:sz w:val="16"/>
                <w:szCs w:val="16"/>
                <w:highlight w:val="yellow"/>
              </w:rPr>
            </w:pPr>
            <w:r>
              <w:rPr>
                <w:color w:val="000000"/>
                <w:sz w:val="16"/>
                <w:szCs w:val="16"/>
              </w:rPr>
              <w:t>2</w:t>
            </w:r>
          </w:p>
        </w:tc>
      </w:tr>
      <w:tr w14:paraId="25AB36E6">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1DC722BA">
            <w:pPr>
              <w:spacing w:line="240" w:lineRule="auto"/>
              <w:jc w:val="center"/>
              <w:rPr>
                <w:color w:val="000000"/>
                <w:sz w:val="16"/>
                <w:szCs w:val="16"/>
              </w:rPr>
            </w:pPr>
            <w:r>
              <w:rPr>
                <w:color w:val="000000"/>
                <w:sz w:val="16"/>
                <w:szCs w:val="16"/>
              </w:rPr>
              <w:t>87</w:t>
            </w:r>
          </w:p>
        </w:tc>
        <w:tc>
          <w:tcPr>
            <w:tcW w:w="5981" w:type="dxa"/>
            <w:tcBorders>
              <w:top w:val="single" w:color="000000" w:sz="4" w:space="0"/>
              <w:left w:val="single" w:color="000000" w:sz="4" w:space="0"/>
              <w:bottom w:val="single" w:color="000000" w:sz="4" w:space="0"/>
              <w:right w:val="single" w:color="000000" w:sz="4" w:space="0"/>
            </w:tcBorders>
            <w:vAlign w:val="center"/>
          </w:tcPr>
          <w:p w14:paraId="7B8BEAF2">
            <w:pPr>
              <w:spacing w:line="240" w:lineRule="auto"/>
              <w:rPr>
                <w:b/>
                <w:sz w:val="16"/>
                <w:szCs w:val="16"/>
              </w:rPr>
            </w:pPr>
            <w:r>
              <w:rPr>
                <w:sz w:val="16"/>
                <w:szCs w:val="16"/>
              </w:rPr>
              <w:t>AV ARAPONGAS PROX R BEM TE VI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41C13AA7">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2CF3F282">
            <w:pPr>
              <w:spacing w:line="240" w:lineRule="auto"/>
              <w:jc w:val="center"/>
              <w:rPr>
                <w:b/>
                <w:color w:val="000000"/>
                <w:sz w:val="16"/>
                <w:szCs w:val="16"/>
                <w:highlight w:val="yellow"/>
              </w:rPr>
            </w:pPr>
            <w:r>
              <w:rPr>
                <w:color w:val="000000"/>
                <w:sz w:val="16"/>
                <w:szCs w:val="16"/>
              </w:rPr>
              <w:t>2</w:t>
            </w:r>
          </w:p>
        </w:tc>
      </w:tr>
      <w:tr w14:paraId="5A3956F1">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3465EEF2">
            <w:pPr>
              <w:spacing w:line="240" w:lineRule="auto"/>
              <w:jc w:val="center"/>
              <w:rPr>
                <w:color w:val="000000"/>
                <w:sz w:val="16"/>
                <w:szCs w:val="16"/>
              </w:rPr>
            </w:pPr>
            <w:r>
              <w:rPr>
                <w:color w:val="000000"/>
                <w:sz w:val="16"/>
                <w:szCs w:val="16"/>
              </w:rPr>
              <w:t>88</w:t>
            </w:r>
          </w:p>
        </w:tc>
        <w:tc>
          <w:tcPr>
            <w:tcW w:w="5981" w:type="dxa"/>
            <w:tcBorders>
              <w:top w:val="single" w:color="000000" w:sz="4" w:space="0"/>
              <w:left w:val="single" w:color="000000" w:sz="4" w:space="0"/>
              <w:bottom w:val="single" w:color="000000" w:sz="4" w:space="0"/>
              <w:right w:val="single" w:color="000000" w:sz="4" w:space="0"/>
            </w:tcBorders>
            <w:vAlign w:val="center"/>
          </w:tcPr>
          <w:p w14:paraId="458C8824">
            <w:pPr>
              <w:spacing w:line="240" w:lineRule="auto"/>
              <w:rPr>
                <w:b/>
                <w:sz w:val="16"/>
                <w:szCs w:val="16"/>
              </w:rPr>
            </w:pPr>
            <w:r>
              <w:rPr>
                <w:sz w:val="16"/>
                <w:szCs w:val="16"/>
              </w:rPr>
              <w:t>AV ARAPONGAS PROX R BEM TE VI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3B4F98D5">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77A6EF5A">
            <w:pPr>
              <w:spacing w:line="240" w:lineRule="auto"/>
              <w:jc w:val="center"/>
              <w:rPr>
                <w:b/>
                <w:color w:val="000000"/>
                <w:sz w:val="16"/>
                <w:szCs w:val="16"/>
                <w:highlight w:val="yellow"/>
              </w:rPr>
            </w:pPr>
            <w:r>
              <w:rPr>
                <w:color w:val="000000"/>
                <w:sz w:val="16"/>
                <w:szCs w:val="16"/>
              </w:rPr>
              <w:t>2</w:t>
            </w:r>
          </w:p>
        </w:tc>
      </w:tr>
      <w:tr w14:paraId="4B993D82">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64C93025">
            <w:pPr>
              <w:spacing w:line="240" w:lineRule="auto"/>
              <w:jc w:val="center"/>
              <w:rPr>
                <w:color w:val="000000"/>
                <w:sz w:val="16"/>
                <w:szCs w:val="16"/>
              </w:rPr>
            </w:pPr>
            <w:r>
              <w:rPr>
                <w:color w:val="000000"/>
                <w:sz w:val="16"/>
                <w:szCs w:val="16"/>
              </w:rPr>
              <w:t>89</w:t>
            </w:r>
          </w:p>
        </w:tc>
        <w:tc>
          <w:tcPr>
            <w:tcW w:w="5981" w:type="dxa"/>
            <w:tcBorders>
              <w:top w:val="single" w:color="000000" w:sz="4" w:space="0"/>
              <w:left w:val="single" w:color="000000" w:sz="4" w:space="0"/>
              <w:bottom w:val="single" w:color="000000" w:sz="4" w:space="0"/>
              <w:right w:val="single" w:color="000000" w:sz="4" w:space="0"/>
            </w:tcBorders>
            <w:vAlign w:val="center"/>
          </w:tcPr>
          <w:p w14:paraId="1548D80E">
            <w:pPr>
              <w:spacing w:line="240" w:lineRule="auto"/>
              <w:rPr>
                <w:b/>
                <w:sz w:val="16"/>
                <w:szCs w:val="16"/>
              </w:rPr>
            </w:pPr>
            <w:r>
              <w:rPr>
                <w:sz w:val="16"/>
                <w:szCs w:val="16"/>
              </w:rPr>
              <w:t>AV ANTÔNIO TEIXEIRA DOS SANTOS PROX R CURIÓ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695580B">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4A5F785C">
            <w:pPr>
              <w:spacing w:line="240" w:lineRule="auto"/>
              <w:jc w:val="center"/>
              <w:rPr>
                <w:b/>
                <w:color w:val="000000"/>
                <w:sz w:val="16"/>
                <w:szCs w:val="16"/>
                <w:highlight w:val="yellow"/>
              </w:rPr>
            </w:pPr>
            <w:r>
              <w:rPr>
                <w:color w:val="000000"/>
                <w:sz w:val="16"/>
                <w:szCs w:val="16"/>
              </w:rPr>
              <w:t>2</w:t>
            </w:r>
          </w:p>
        </w:tc>
      </w:tr>
      <w:tr w14:paraId="2842DD3A">
        <w:tblPrEx>
          <w:tblCellMar>
            <w:top w:w="0" w:type="dxa"/>
            <w:left w:w="70" w:type="dxa"/>
            <w:bottom w:w="0" w:type="dxa"/>
            <w:right w:w="70" w:type="dxa"/>
          </w:tblCellMar>
        </w:tblPrEx>
        <w:trPr>
          <w:trHeight w:val="589" w:hRule="atLeast"/>
        </w:trPr>
        <w:tc>
          <w:tcPr>
            <w:tcW w:w="960" w:type="dxa"/>
            <w:tcBorders>
              <w:top w:val="single" w:color="000000" w:sz="4" w:space="0"/>
              <w:left w:val="single" w:color="000000" w:sz="4" w:space="0"/>
              <w:bottom w:val="single" w:color="000000" w:sz="4" w:space="0"/>
              <w:right w:val="single" w:color="000000" w:sz="4" w:space="0"/>
            </w:tcBorders>
            <w:vAlign w:val="center"/>
          </w:tcPr>
          <w:p w14:paraId="50D98722">
            <w:pPr>
              <w:spacing w:line="240" w:lineRule="auto"/>
              <w:jc w:val="center"/>
              <w:rPr>
                <w:color w:val="000000"/>
                <w:sz w:val="16"/>
                <w:szCs w:val="16"/>
              </w:rPr>
            </w:pPr>
            <w:r>
              <w:rPr>
                <w:color w:val="000000"/>
                <w:sz w:val="16"/>
                <w:szCs w:val="16"/>
              </w:rPr>
              <w:t>90</w:t>
            </w:r>
          </w:p>
        </w:tc>
        <w:tc>
          <w:tcPr>
            <w:tcW w:w="5981" w:type="dxa"/>
            <w:tcBorders>
              <w:top w:val="single" w:color="000000" w:sz="4" w:space="0"/>
              <w:left w:val="single" w:color="000000" w:sz="4" w:space="0"/>
              <w:bottom w:val="single" w:color="000000" w:sz="4" w:space="0"/>
              <w:right w:val="single" w:color="000000" w:sz="4" w:space="0"/>
            </w:tcBorders>
            <w:vAlign w:val="center"/>
          </w:tcPr>
          <w:p w14:paraId="4421F433">
            <w:pPr>
              <w:spacing w:line="240" w:lineRule="auto"/>
              <w:rPr>
                <w:b/>
                <w:sz w:val="16"/>
                <w:szCs w:val="16"/>
              </w:rPr>
            </w:pPr>
            <w:r>
              <w:rPr>
                <w:sz w:val="16"/>
                <w:szCs w:val="16"/>
              </w:rPr>
              <w:t>AV ANTÔNIO TEIXEIRA DOS SANTOS PROX R CURIÓ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65A221FD">
            <w:pPr>
              <w:spacing w:line="240" w:lineRule="auto"/>
              <w:jc w:val="center"/>
              <w:rPr>
                <w:b/>
                <w:sz w:val="16"/>
                <w:szCs w:val="16"/>
              </w:rPr>
            </w:pPr>
            <w:r>
              <w:rPr>
                <w:sz w:val="16"/>
                <w:szCs w:val="16"/>
              </w:rPr>
              <w:t>RADAR FIXO</w:t>
            </w:r>
          </w:p>
        </w:tc>
        <w:tc>
          <w:tcPr>
            <w:tcW w:w="992" w:type="dxa"/>
            <w:tcBorders>
              <w:top w:val="single" w:color="000000" w:sz="4" w:space="0"/>
              <w:left w:val="single" w:color="000000" w:sz="4" w:space="0"/>
              <w:bottom w:val="single" w:color="000000" w:sz="4" w:space="0"/>
              <w:right w:val="single" w:color="000000" w:sz="4" w:space="0"/>
            </w:tcBorders>
            <w:vAlign w:val="center"/>
          </w:tcPr>
          <w:p w14:paraId="17FEE278">
            <w:pPr>
              <w:spacing w:line="240" w:lineRule="auto"/>
              <w:jc w:val="center"/>
              <w:rPr>
                <w:b/>
                <w:color w:val="000000"/>
                <w:sz w:val="16"/>
                <w:szCs w:val="16"/>
                <w:highlight w:val="yellow"/>
              </w:rPr>
            </w:pPr>
            <w:r>
              <w:rPr>
                <w:color w:val="000000"/>
                <w:sz w:val="16"/>
                <w:szCs w:val="16"/>
              </w:rPr>
              <w:t>2</w:t>
            </w:r>
          </w:p>
        </w:tc>
      </w:tr>
    </w:tbl>
    <w:p w14:paraId="7DCF9FC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p>
    <w:p w14:paraId="213201FE">
      <w:pPr>
        <w:pStyle w:val="3"/>
        <w:jc w:val="both"/>
        <w:rPr>
          <w:rFonts w:ascii="Arial" w:hAnsi="Arial" w:eastAsia="Arial" w:cs="Arial"/>
          <w:b/>
          <w:color w:val="000000"/>
          <w:sz w:val="22"/>
          <w:szCs w:val="22"/>
        </w:rPr>
      </w:pPr>
      <w:r>
        <w:rPr>
          <w:rFonts w:ascii="Arial" w:hAnsi="Arial" w:eastAsia="Arial" w:cs="Arial"/>
          <w:b/>
          <w:color w:val="000000"/>
          <w:sz w:val="22"/>
          <w:szCs w:val="22"/>
        </w:rPr>
        <w:t>12. Fornecimento de sistema de controle e monitoramento de velocidade por meio de equipamento educativo não intrusivo doppler, com comunicação de internet via cabeamento fibra óptica, equipado com câmera para leitura LPR.</w:t>
      </w:r>
    </w:p>
    <w:p w14:paraId="16833F9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REQUISITOS TÉCNICOS MÍNIMOS:</w:t>
      </w:r>
    </w:p>
    <w:p w14:paraId="442C822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Os aparelhos do tipo “Medidor de velocidade automático, fixo, dotado de dispositivo registrador de imagem e dispositivo indicador de velocidade (Display) - Controlador Ostensivo de velocidade (Lombada Eletrônica) com dispositivo OCR (Optical Character recognition) embarcado e videomonitoramento” são equipamentos capazes de fiscalizar a velocidade estabelecida nas vias, sem a necessidade da presença de autoridade de trânsito ou seu agente, de forma a permitir a detecção e registro automático de dados de fluxo viário e a captação da imagem do veículo que esteja trafegando acima da velocidade regulamentada para o local. Possuem dispositivo indicador de velocidade para exibir a velocidade do veículo no momento da passagem pelo equipamento. São usados em locais onde o excesso de velocidade é um fator de risco para os condutores e pedestres e deve atender a todos os requisitos constantes nas Normas, Portarias, regulamentações e legislações vigentes, sejam elas o CTB, CONTRAN, SENATRAN, INMETRO ou do contratante, sendo que também deverão possuir obrigatoriamente a aprovação pelo INMETRO, apresentando as seguintes características:</w:t>
      </w:r>
    </w:p>
    <w:p w14:paraId="7A896E9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e demais itens agregados ao mesmo, deverão obrigatoriamente possuir a aprovação pelo INMETRO – Instituto Nacional de Metrologia, Normalização e Qualidade Industrial – e obedecer aos termos da Portaria nº 158 de 31/03/2022 e/ou alterações posteriores;</w:t>
      </w:r>
    </w:p>
    <w:p w14:paraId="0563F2E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e demais itens agregados ao mesmo deverão atender na íntegra a Resolução nº 798/2020 do CONTRAN e 158/2022 do INMETRO e respectivas alterações e atualizações pertinentes, bem como as demais normas legais e regulamentações vigentes do Código de Trânsito Brasileiro, SENATRAN, CONTRAN e INMETRO.</w:t>
      </w:r>
    </w:p>
    <w:p w14:paraId="6669E77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 detecção deverá permitir a perfeita identificação de todas as placas veiculares homologadas pelo SENATRAN, bem como a marca e modelo do veículo infrator, além do contexto do local onde foi cometida a infração. Além disto, o mesmo deverá registrar o dia e horário da infração e conter o local da mesma identificado de forma descritiva ou codificada;</w:t>
      </w:r>
    </w:p>
    <w:p w14:paraId="07E1F43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registros fotográficos dos veículos deverão ser numerados sequencialmente no momento da sua detecção.</w:t>
      </w:r>
    </w:p>
    <w:p w14:paraId="02627AA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circuito de proteção contra descargas atmosféricas no sistema de entrada de energia e nos sensores de medição de velocidade;</w:t>
      </w:r>
    </w:p>
    <w:p w14:paraId="1707697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equipamentos deverão possuir câmeras de captura independentes para cada uma das faixas de trânsito fiscalizadas. A fiscalização eletrônica deverá ocorrer de forma independente por faixa e eventuais problemas em uma determinada câmera não poderão afetar a operação das demais. Estas câmeras deverão capturar a imagem em zoom para cada faixa de rolamento, devendo ser multicromáticas durante o dia e podendo ser em preto e branco durante à noite e em condições de luminosidade ruim;</w:t>
      </w:r>
    </w:p>
    <w:p w14:paraId="126631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sistema de detecção dos veículos através de sensores do tipo não intrusivos doppler, utilizando 01 (um) sensor para cada faixa de rolamento monitorada, de forma que uma eventual falha em um dos sensores não afete o funcionamento das demais faixas monitoradas;</w:t>
      </w:r>
    </w:p>
    <w:p w14:paraId="75947D4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sistema de registro automático de dados e imagens dos veículos que cometerem as infrações de excesso de velocidade, com os seguintes enquadramentos:</w:t>
      </w:r>
    </w:p>
    <w:p w14:paraId="5C97B06A">
      <w:pPr>
        <w:numPr>
          <w:ilvl w:val="0"/>
          <w:numId w:val="17"/>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000000"/>
        </w:rPr>
      </w:pPr>
      <w:r>
        <w:rPr>
          <w:color w:val="000000"/>
        </w:rPr>
        <w:t>Código: 74550 – Artigo 218*I - Transitar em velocidade superior à máxima permitida em até 20%.</w:t>
      </w:r>
    </w:p>
    <w:p w14:paraId="4257AA40">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Código: 74630 – Artigo 218*II - Transitar em velocidade superior à máxima permitida em mais de 20% até 50%.</w:t>
      </w:r>
    </w:p>
    <w:p w14:paraId="382B27A0">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Código: 74710 – Artigo 218*III - Transitar em velocidade superior à máxima permitida em mais de 50%.</w:t>
      </w:r>
    </w:p>
    <w:p w14:paraId="6A9BFED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enviar de forma on-line os registros de infrações capturados para o sistema de Processamento de infrações que deverá estar disponibilizado juntamente com a Central de Processamento e Monitoramento;</w:t>
      </w:r>
    </w:p>
    <w:p w14:paraId="7D8B5BA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câmera panorâmica que permita o videomonitoramento em tempo real do local fiscalizado, através de sistema disponibilizado juntamente com a Central de Processamento e Monitoramento;</w:t>
      </w:r>
    </w:p>
    <w:p w14:paraId="6648440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sistema de captura e armazenamento dos dados estatísticos gerados pelos veículos infratores e não infratores visando à geração de relatórios estatísticos, com envio on-line para o sistema de Processamento de infrações;</w:t>
      </w:r>
    </w:p>
    <w:p w14:paraId="7D668E1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sistema de OCR “Optical Character Recognition”, permitindo a leitura automática das placas de todos os veículos, com envio em tempo real para o Sistema de Monitoramento de Placas de veículos que deverá estar disponibilizado juntamente com a Central de Processamento e Monitoramento;</w:t>
      </w:r>
    </w:p>
    <w:p w14:paraId="6266087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dispor de licenças OCRs individuais, no mínimo, para cada equipamento;</w:t>
      </w:r>
    </w:p>
    <w:p w14:paraId="7F6047E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envio dos dados e imagens capturados pelo sistema de OCR do equipamento para o Sistema de Monitoramento de OCR deverá ser realizado em, no máximo, 10 (dez) segundos após a passagem do veículo pelo local monitorado;</w:t>
      </w:r>
    </w:p>
    <w:p w14:paraId="2BB32E0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índice de leitura de placas veiculares corretas efetuadas por cada equipamento deverá ser superior a 80% (oitenta por cento) considerando o fluxo total de veículos que transitarem pelas faixas monitoradas. Para fins de aproveitamento serão desconsiderados veículos sem placas, com placas demasiadamente sujas ou amassadas, placas encobertas ou fora do padrão de placas do Código de Trânsito Brasileiro e pelo Mercosul.</w:t>
      </w:r>
    </w:p>
    <w:p w14:paraId="13F8A22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disponibilizar imagens panorâmicas para videomonitoramento em tempo real, através de canal de vídeo RSTP para integração com outras plataformas, com taxa de atualização mínima de 15 FPS e resolução de 2MP.</w:t>
      </w:r>
    </w:p>
    <w:p w14:paraId="44705D3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Funcionar com alimentação elétrica de corrente alternada e tensão de entrada de 220 Volts, conectados diretamente à rede da concessionária de energia elétrica;</w:t>
      </w:r>
    </w:p>
    <w:p w14:paraId="25B5250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Retornar à operação normal, automaticamente, em caso de ocorrência do desarme por interrupção de energia elétrica. Quando ocorrer o desarme por interrupção da mesma, o equipamento deverá conservar os dados, imagens e o relógio interno por período de até 48 horas; detectável e expresso em relatório posterior ao evento;</w:t>
      </w:r>
    </w:p>
    <w:p w14:paraId="3159744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Deverá possuir “no-break” com capacidade de mínima de 15 minutos de funcionamento em caso de falta de energia. O sistema deve prever desligamento de forma correta, a fim de que não haja possibilidade de que os dados armazenados sejam corrompidos pelo desligamento repentino de energia. Ao retornar o fornecimento normal de energia elétrica, o sistema deverá iniciar automaticamente o funcionamento.</w:t>
      </w:r>
    </w:p>
    <w:p w14:paraId="4FCE844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controles eletrônicos através de microprocessador;</w:t>
      </w:r>
    </w:p>
    <w:p w14:paraId="40B4C83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dispositivo de estabilização de energia, com proteção contra variações de tensão ou corrente;</w:t>
      </w:r>
    </w:p>
    <w:p w14:paraId="7271E9E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permitir sincronismo de seu relógio de tempo real (RTC) interno com o horário de Brasília, não permitindo erros maiores do que mais ou menos 1 (um) segundo. Este relógio deverá possuir bateria de “backup” de longa duração (dois anos no mínimo) de maneira a não ser afetado por eventuais interrupções no fornecimento de energia elétrica.</w:t>
      </w:r>
    </w:p>
    <w:p w14:paraId="1728244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possuir estrutura externa resistente a vandalismo e intempéries, com dispositivos de vedação que impeçam a entrada de poeira e umidade, devidamente tratada contra oxidação galvânica e eletrolítica, possuindo resistência estrutural para suportar os esforços atuantes devidos à ação de ventos.</w:t>
      </w:r>
    </w:p>
    <w:p w14:paraId="7A04A94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Registrar a velocidade e permitir a captura de imagens de veículos de qualquer porte, tamanho, peso, altura, largura e comprimento, contido no Código Brasileiro de Trânsito - CTB ou em outras normas regulamentadoras vigentes;</w:t>
      </w:r>
    </w:p>
    <w:p w14:paraId="1FE01CA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sistema de captação de imagem panorâmica colorida que possibilite a geração da imagem contendo o display do equipamento correspondente ao da faixa do veículo infrator, bem como pontos relevantes da via que permitam identificar o local da infração e que permitam que o condutor visualize o display da lombada eletrônica.</w:t>
      </w:r>
    </w:p>
    <w:p w14:paraId="73B834A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Permitir caracterizar o veículo infrator no local da infração e a imagem panorâmica estar acoplada à imagem de identificação veicular sem prejuízo para a identificação do veículo infrator;</w:t>
      </w:r>
    </w:p>
    <w:p w14:paraId="7CC9639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Usar sistema de iluminadores antiofuscantes imperceptíveis ao olho humano para possibilitar o funcionamento dos medidores em qualquer condição de iluminação natural de dia ou de noite, permitindo o cadastramento da placa do veículo;</w:t>
      </w:r>
    </w:p>
    <w:p w14:paraId="54FE0E7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capturadas deverão possuir uma resolução mínima de 2MP;</w:t>
      </w:r>
    </w:p>
    <w:p w14:paraId="317EB6A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gerar imagens digitais que possibilitem ao analista, a olho nu, identificar o veículo infrator, os caracteres alfanuméricos da placa, sua marca, modelo e espécie;</w:t>
      </w:r>
    </w:p>
    <w:p w14:paraId="6531744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padrão de arquivamento das imagens deverá ser em extensão compatível com o existente no mercado, sem prejuízo a identificação do veículo e outras informações;</w:t>
      </w:r>
    </w:p>
    <w:p w14:paraId="3546218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Detectar falha em qualquer um dos módulos do equipamento gerando arquivo de log para posterior consulta;</w:t>
      </w:r>
    </w:p>
    <w:p w14:paraId="5E8032A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Cada equipamento deverá ser capaz de registrar e armazenar no mínimo uma imagem por segundo por faixa eletronicamente controlada, em, no mínimo, 4 (quatro) faixas de trânsito, sejam elas no mesmo sentido ou em sentido opostos (de acordo com as características de cada local proposto). Ocorrendo infrações simultaneamente em faixas distintas, o equipamento deverá registrar tais infrações simultaneamente;</w:t>
      </w:r>
    </w:p>
    <w:p w14:paraId="7724BE0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possibilitar o registro das imagens dos veículos infratores medidos pela placa traseira do veículo.</w:t>
      </w:r>
    </w:p>
    <w:p w14:paraId="579B390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permitir a classificação dos veículos em, no mínimo, três categorias: veículo de pequeno porte, veículo de médio porte e veículo de grande porte;</w:t>
      </w:r>
    </w:p>
    <w:p w14:paraId="78E7D91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sistema deve registrar dados referentes à passagem de cada veículo quantificando o número de veículos que passam com os dados relativos ao horário e velocidade deles, apresentando nas imagens transferidas para a Central de Processamento e Monitoramento, no mínimo, os seguintes dados:</w:t>
      </w:r>
    </w:p>
    <w:p w14:paraId="718165B5">
      <w:pPr>
        <w:numPr>
          <w:ilvl w:val="0"/>
          <w:numId w:val="17"/>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000000"/>
        </w:rPr>
      </w:pPr>
      <w:r>
        <w:rPr>
          <w:color w:val="000000"/>
        </w:rPr>
        <w:t>Data (dia/mês/ano);</w:t>
      </w:r>
    </w:p>
    <w:p w14:paraId="0C27BCE1">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Horário (hora/ minuto/ segundo);</w:t>
      </w:r>
    </w:p>
    <w:p w14:paraId="6B85BB68">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Local (código identificador do local);</w:t>
      </w:r>
    </w:p>
    <w:p w14:paraId="0473836A">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Número da faixa de rolamento;</w:t>
      </w:r>
    </w:p>
    <w:p w14:paraId="5E852C15">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Velocidade do veículo detectado (km/h);</w:t>
      </w:r>
    </w:p>
    <w:p w14:paraId="35F912C6">
      <w:pPr>
        <w:numPr>
          <w:ilvl w:val="0"/>
          <w:numId w:val="17"/>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Placa de veículo.</w:t>
      </w:r>
    </w:p>
    <w:p w14:paraId="2F51F40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registrar as imagens de cada infração, juntamente com os seguintes dados:</w:t>
      </w:r>
    </w:p>
    <w:p w14:paraId="760C3A16">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da infração em dia, mês e ano (DD/MM/AAAA);</w:t>
      </w:r>
    </w:p>
    <w:p w14:paraId="4E1D5401">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Horário com hora, minuto, segundo (hh:mm:ss);</w:t>
      </w:r>
    </w:p>
    <w:p w14:paraId="562C8780">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Local de operação;</w:t>
      </w:r>
    </w:p>
    <w:p w14:paraId="05570AE0">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para identificação do equipamento;</w:t>
      </w:r>
    </w:p>
    <w:p w14:paraId="7748F0E3">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Data da Aferição: (DD/MM/AAAA);</w:t>
      </w:r>
    </w:p>
    <w:p w14:paraId="444E398A">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Faixa de rolamento monitorada;</w:t>
      </w:r>
    </w:p>
    <w:p w14:paraId="08022D6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regulamentada, em km/h;</w:t>
      </w:r>
    </w:p>
    <w:p w14:paraId="56940907">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Velocidade medida, em km/h;</w:t>
      </w:r>
    </w:p>
    <w:p w14:paraId="082B3820">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sequencial do registro;</w:t>
      </w:r>
    </w:p>
    <w:p w14:paraId="7D14CA49">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Código do Enquadramento;</w:t>
      </w:r>
    </w:p>
    <w:p w14:paraId="21A1483C">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Descrição do Enquadramento.</w:t>
      </w:r>
    </w:p>
    <w:p w14:paraId="2096CBCE">
      <w:pPr>
        <w:pStyle w:val="72"/>
        <w:numPr>
          <w:ilvl w:val="0"/>
          <w:numId w:val="16"/>
        </w:numPr>
      </w:pPr>
      <w:r>
        <w:t>Operar na faixa de 20 a 280 km/h.</w:t>
      </w:r>
    </w:p>
    <w:p w14:paraId="0CB63EAB">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p>
    <w:p w14:paraId="435CE70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Demais dados que permitam a melhor identificação do veículo infrator e da infração cometida, a propiciar a pronta e perfeita lavratura de Auto de Infração de Trânsito nos termos da Lei Federal n. 9.503/97 e alterações,</w:t>
      </w:r>
    </w:p>
    <w:p w14:paraId="5E190C4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Resoluções do CONTRAN e Portarias do SENATRAN.</w:t>
      </w:r>
    </w:p>
    <w:p w14:paraId="01F9EEB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permitir a transferência de dados (fluxos e imagens dos veículos infratores), de forma on-line entre os equipamentos e a Central de Controle Operacional - CCO, através de rede de fibra óptica dedicada para tal transmissão. Em caso de falha na transmissão dos dados, deverão ser armazenados, para posterior envio remoto para processamento, auditoria e envio dos Autos;</w:t>
      </w:r>
    </w:p>
    <w:p w14:paraId="6C47CF4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usar sistema próprio de iluminação para possibilitar o funcionamento no período noturno;</w:t>
      </w:r>
    </w:p>
    <w:p w14:paraId="19E7A6B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Deverão possibilitar, sempre que o contratante desejar, a entrada em funcionamento em horário programado;</w:t>
      </w:r>
    </w:p>
    <w:p w14:paraId="66F4B09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Cada equipamento deverá ser acompanhado de seu respectivo Manual de Operação, em português;</w:t>
      </w:r>
    </w:p>
    <w:p w14:paraId="5427B4C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realizar levantamentos estatístico, volumétrico e classificatório de todos os veículos que passarem em por sua área de detecção;</w:t>
      </w:r>
    </w:p>
    <w:p w14:paraId="124FE07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Permitir a contagem de tráfego qualitativa e a emissão de relatórios, de acordo com os seguintes requisitos:</w:t>
      </w:r>
    </w:p>
    <w:p w14:paraId="1D61D280">
      <w:pPr>
        <w:numPr>
          <w:ilvl w:val="0"/>
          <w:numId w:val="16"/>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Contagem quantitativa de tráfego de todos os veículos a cada 15 minutos e por dia fornecendo o volume diário médio (VDM) que transita no local;</w:t>
      </w:r>
    </w:p>
    <w:p w14:paraId="4CD5399D">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Registro da velocidade média de todos os veículos a cada 15 minutos e por dia, por faixa monitorada;</w:t>
      </w:r>
    </w:p>
    <w:p w14:paraId="2B100FF5">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Listagem de veículos infratores X placas; infratores X categorias; infratores X espécies; infratores X tipos;</w:t>
      </w:r>
    </w:p>
    <w:p w14:paraId="2240EE44">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Listagem de veículos organizados por data e horário de passagem, vinculados a leitura da placa e a velocidade de passagem;</w:t>
      </w:r>
    </w:p>
    <w:p w14:paraId="30016C63">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Número de veículos infratores por local, hora, dia, mês e ano;</w:t>
      </w:r>
    </w:p>
    <w:p w14:paraId="41A7E8F5">
      <w:pPr>
        <w:numPr>
          <w:ilvl w:val="0"/>
          <w:numId w:val="16"/>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Relatórios estatísticos de multas por enquadramento e por equipamento, bem como geração de gráficos.</w:t>
      </w:r>
    </w:p>
    <w:p w14:paraId="61A0D46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no momento de sua captura, devem ser armazenadas criptografadas por algoritmo reconhecidamente seguro, comprovado através de laudo de instituições privadas ou públicas, fundações de pesquisas, etc, nacionais ou internacionais, que impeça qualquer tentativa de adulteração;</w:t>
      </w:r>
    </w:p>
    <w:p w14:paraId="72020FC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As imagens coletadas em campo somente poderão ser visualizadas após o processo de descriptografia, o qual deverá ocorrer nas dependências da CONTRATANTE. Somente os computadores destinados ao processamento e consistência das imagens deverão possuir o respectivo software de descriptografia (Central de Processamento). Somente as pessoas autorizadas pela CONTRATANTE, poderão utilizar o software de descriptografia, mediante o uso de senha pessoal e restrita.</w:t>
      </w:r>
    </w:p>
    <w:p w14:paraId="5423DEE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empresa deverá estar atualizada em termos de inovações tecnológicas e legais acerca do objeto deste edital afim de que os processos sejam mais dinâmicos e modernizados, no que tange o processamento e qualidade do serviço, bem como adequação à legislação vigente;</w:t>
      </w:r>
    </w:p>
    <w:p w14:paraId="7F2BBC0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Os registros efetuados pelo equipamento devem permitir a elaboração e impressão de Autos de Infração informatizados, a partir dos registros/imagens obtidos, compatível com o sistema do DETRAN/MT;</w:t>
      </w:r>
    </w:p>
    <w:p w14:paraId="4BD85C0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usar sistema próprio de iluminação para possibilitar o funcionamento no período noturno, com dispositivos do tipo infravermelho;</w:t>
      </w:r>
    </w:p>
    <w:p w14:paraId="464EBD6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display utilizado para indicar a velocidade, deverá informar a velocidade que o veículo está empreendendo no momento de sua passagem pelo ponto de medição, em até, no mínimo 199km/h;</w:t>
      </w:r>
    </w:p>
    <w:p w14:paraId="55C5CC5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display deve possuir dispositivo piscante de advertência no corpo do equipamento, com alta luminosidade, na cor âmbar ou amarela, com a finalidade de alertar o motorista quanto a presença do equipamento;</w:t>
      </w:r>
    </w:p>
    <w:p w14:paraId="203E472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indicação da velocidade máxima permitida para o local, no corpo do equipamento com placa de regulamentação de velocidade, com diâmetro de, no mínimo, 50 cm em película refletiva (placa R-19), de acordo com a Resolução nº 180/05 do CONTRAN;</w:t>
      </w:r>
    </w:p>
    <w:p w14:paraId="103D946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display deverá mostrar a velocidade empregada pelo veículo no momento de sua passagem pelo equipamento através de um dispositivo indicador digital, utilizando 03 (três) cores indicativas para as faixas de velocidade – cor verde, quando transitar em velocidade dentro do limite de velocidade máxima regulamentada para a via; cor amarela, quando transitar em velocidade acima do limite de velocidade máxima regulamentada para a via, mas dentro da tolerância legal admitida e na cor vermelha, quando transitar em velocidade acima do limite de velocidade máxima regulamentada para a via e acima da tolerância legal admitida.</w:t>
      </w:r>
    </w:p>
    <w:p w14:paraId="2573852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ser capaz de fazer autoteste do status de funcionamento de seu hardware, componentes e software, disponibilizando essas informações em até 24 horas a contratante;</w:t>
      </w:r>
    </w:p>
    <w:p w14:paraId="5BC79FB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Possibilitar o registro da imagem do veículo, contendo o entorno do local monitorado, com imagens multicromáticas, durante as 24 horas do dia.</w:t>
      </w:r>
    </w:p>
    <w:p w14:paraId="144780C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Possuir características físicas que possibilitem ser facilmente identificável a uma distância mínima de 100 m a partir do ponto em que estiver instalado;</w:t>
      </w:r>
    </w:p>
    <w:p w14:paraId="1623525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estrutura deverá ser firmemente fixada ao solo, em caráter permanente, instalada de forma que sem motivação externa, não tenha risco de queda e não comprometa a segurança dos condutores e pedestres que transitarem pelos locais onde o equipamento estiver operando.</w:t>
      </w:r>
    </w:p>
    <w:p w14:paraId="6419BDF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 estrutura física externa do equipamento não poderá comprometer a passagem dos pedestres, prevendo no mínimo a passagem de uma cadeira de rodas;</w:t>
      </w:r>
    </w:p>
    <w:p w14:paraId="4A99DD6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Apresentar índice de aproveitamento das imagens válidas de no mínimo 90% (noventa por cento) para imagens diurnas e, 85% (oitenta e cinco por cento) para imagens noturnas;</w:t>
      </w:r>
    </w:p>
    <w:p w14:paraId="0BCFEAD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O equipamento deverá permitir a identificação inequívoca de qual é o veículo infrator quando for registrado mais de um veículo na mesma imagem.</w:t>
      </w:r>
    </w:p>
    <w:p w14:paraId="427066C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 fiscalização, denominado lombada eletrônica, deverá utilizar tecnologia não intrusiva baseada no princípio da Tecnologia Doppler, garantindo alta precisão na medição da velocidade sem a necessidade de interferência física na via. Essa tecnologia deve proporcionar confiabilidade, resistência a interferências externas e conformidade com as normas técnicas aplicáveis, assegurando um monitoramento eficiente e seguro do tráfego.</w:t>
      </w:r>
    </w:p>
    <w:p w14:paraId="6D240775">
      <w:pPr>
        <w:widowControl w:val="0"/>
        <w:ind w:left="69" w:right="26"/>
        <w:jc w:val="both"/>
        <w:rPr>
          <w:rFonts w:ascii="Aptos" w:hAnsi="Aptos" w:eastAsia="Aptos" w:cs="Aptos"/>
        </w:rPr>
      </w:pPr>
    </w:p>
    <w:p w14:paraId="1A3EF690">
      <w:pPr>
        <w:widowControl w:val="0"/>
        <w:ind w:right="26"/>
        <w:jc w:val="both"/>
        <w:rPr>
          <w:rFonts w:ascii="Aptos" w:hAnsi="Aptos" w:eastAsia="Aptos" w:cs="Aptos"/>
          <w:b/>
        </w:rPr>
      </w:pPr>
      <w:r>
        <w:rPr>
          <w:rFonts w:ascii="Aptos" w:hAnsi="Aptos" w:eastAsia="Aptos" w:cs="Aptos"/>
          <w:b/>
        </w:rPr>
        <w:t xml:space="preserve">Endereços: </w:t>
      </w:r>
    </w:p>
    <w:tbl>
      <w:tblPr>
        <w:tblStyle w:val="143"/>
        <w:tblW w:w="9214" w:type="dxa"/>
        <w:tblInd w:w="-5" w:type="dxa"/>
        <w:tblLayout w:type="fixed"/>
        <w:tblCellMar>
          <w:top w:w="0" w:type="dxa"/>
          <w:left w:w="70" w:type="dxa"/>
          <w:bottom w:w="0" w:type="dxa"/>
          <w:right w:w="70" w:type="dxa"/>
        </w:tblCellMar>
      </w:tblPr>
      <w:tblGrid>
        <w:gridCol w:w="709"/>
        <w:gridCol w:w="6095"/>
        <w:gridCol w:w="1276"/>
        <w:gridCol w:w="1134"/>
      </w:tblGrid>
      <w:tr w14:paraId="3CAAF77C">
        <w:tblPrEx>
          <w:tblCellMar>
            <w:top w:w="0" w:type="dxa"/>
            <w:left w:w="70" w:type="dxa"/>
            <w:bottom w:w="0" w:type="dxa"/>
            <w:right w:w="70" w:type="dxa"/>
          </w:tblCellMar>
        </w:tblPrEx>
        <w:trPr>
          <w:trHeight w:val="433" w:hRule="atLeast"/>
        </w:trPr>
        <w:tc>
          <w:tcPr>
            <w:tcW w:w="70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5AAE1">
            <w:pPr>
              <w:spacing w:line="240" w:lineRule="auto"/>
              <w:jc w:val="center"/>
              <w:rPr>
                <w:b/>
                <w:color w:val="000000"/>
                <w:sz w:val="16"/>
                <w:szCs w:val="16"/>
              </w:rPr>
            </w:pPr>
            <w:r>
              <w:rPr>
                <w:b/>
                <w:sz w:val="16"/>
                <w:szCs w:val="16"/>
              </w:rPr>
              <w:t>PONTO</w:t>
            </w:r>
          </w:p>
        </w:tc>
        <w:tc>
          <w:tcPr>
            <w:tcW w:w="609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97F43">
            <w:pPr>
              <w:spacing w:line="240" w:lineRule="auto"/>
              <w:ind w:firstLine="1446"/>
              <w:rPr>
                <w:b/>
                <w:sz w:val="16"/>
                <w:szCs w:val="16"/>
              </w:rPr>
            </w:pPr>
            <w:r>
              <w:rPr>
                <w:b/>
                <w:sz w:val="16"/>
                <w:szCs w:val="16"/>
              </w:rPr>
              <w:t>LOCAL DE INSTALAÇÃO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93FB31">
            <w:pPr>
              <w:spacing w:line="240" w:lineRule="auto"/>
              <w:ind w:firstLine="321"/>
              <w:rPr>
                <w:b/>
                <w:sz w:val="16"/>
                <w:szCs w:val="16"/>
              </w:rPr>
            </w:pPr>
            <w:r>
              <w:rPr>
                <w:b/>
                <w:sz w:val="16"/>
                <w:szCs w:val="16"/>
              </w:rPr>
              <w:t>TIPO</w:t>
            </w:r>
          </w:p>
        </w:tc>
        <w:tc>
          <w:tcPr>
            <w:tcW w:w="113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185614">
            <w:pPr>
              <w:spacing w:line="240" w:lineRule="auto"/>
              <w:jc w:val="center"/>
              <w:rPr>
                <w:b/>
                <w:sz w:val="16"/>
                <w:szCs w:val="16"/>
              </w:rPr>
            </w:pPr>
            <w:r>
              <w:rPr>
                <w:b/>
                <w:sz w:val="16"/>
                <w:szCs w:val="16"/>
              </w:rPr>
              <w:t>FAIXAS</w:t>
            </w:r>
          </w:p>
        </w:tc>
      </w:tr>
      <w:tr w14:paraId="44C35A12">
        <w:tblPrEx>
          <w:tblCellMar>
            <w:top w:w="0" w:type="dxa"/>
            <w:left w:w="70" w:type="dxa"/>
            <w:bottom w:w="0" w:type="dxa"/>
            <w:right w:w="70" w:type="dxa"/>
          </w:tblCellMar>
        </w:tblPrEx>
        <w:trPr>
          <w:trHeight w:val="36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05E52F0F">
            <w:pPr>
              <w:spacing w:line="240" w:lineRule="auto"/>
              <w:rPr>
                <w:b/>
                <w:color w:val="000000"/>
                <w:sz w:val="18"/>
                <w:szCs w:val="18"/>
              </w:rPr>
            </w:pPr>
          </w:p>
          <w:p w14:paraId="444B1237">
            <w:pPr>
              <w:spacing w:line="240" w:lineRule="auto"/>
              <w:rPr>
                <w:b/>
                <w:color w:val="000000"/>
                <w:sz w:val="18"/>
                <w:szCs w:val="18"/>
              </w:rPr>
            </w:pPr>
          </w:p>
        </w:tc>
        <w:tc>
          <w:tcPr>
            <w:tcW w:w="6095" w:type="dxa"/>
            <w:tcBorders>
              <w:top w:val="single" w:color="000000" w:sz="4" w:space="0"/>
              <w:left w:val="single" w:color="000000" w:sz="4" w:space="0"/>
              <w:bottom w:val="single" w:color="000000" w:sz="4" w:space="0"/>
              <w:right w:val="single" w:color="000000" w:sz="4" w:space="0"/>
            </w:tcBorders>
            <w:vAlign w:val="center"/>
          </w:tcPr>
          <w:p w14:paraId="0F069190">
            <w:pPr>
              <w:spacing w:line="240" w:lineRule="auto"/>
              <w:ind w:firstLine="1626"/>
              <w:rPr>
                <w:b/>
                <w:sz w:val="18"/>
                <w:szCs w:val="18"/>
              </w:rPr>
            </w:pPr>
            <w:r>
              <w:rPr>
                <w:b/>
                <w:sz w:val="18"/>
                <w:szCs w:val="18"/>
              </w:rPr>
              <w:t>LOMBADA ELETRÔNICA</w:t>
            </w:r>
          </w:p>
        </w:tc>
        <w:tc>
          <w:tcPr>
            <w:tcW w:w="1276" w:type="dxa"/>
            <w:tcBorders>
              <w:top w:val="single" w:color="000000" w:sz="4" w:space="0"/>
              <w:left w:val="single" w:color="000000" w:sz="4" w:space="0"/>
              <w:bottom w:val="single" w:color="000000" w:sz="4" w:space="0"/>
              <w:right w:val="single" w:color="000000" w:sz="4" w:space="0"/>
            </w:tcBorders>
            <w:vAlign w:val="center"/>
          </w:tcPr>
          <w:p w14:paraId="0A0B0307">
            <w:pPr>
              <w:spacing w:line="240" w:lineRule="auto"/>
              <w:rPr>
                <w:b/>
                <w:color w:val="000000"/>
                <w:sz w:val="18"/>
                <w:szCs w:val="18"/>
              </w:rPr>
            </w:pPr>
          </w:p>
          <w:p w14:paraId="637FE27B">
            <w:pPr>
              <w:spacing w:line="240" w:lineRule="auto"/>
              <w:rPr>
                <w:b/>
                <w:color w:val="000000"/>
                <w:sz w:val="18"/>
                <w:szCs w:val="18"/>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C2078B4">
            <w:pPr>
              <w:spacing w:line="240" w:lineRule="auto"/>
              <w:jc w:val="center"/>
              <w:rPr>
                <w:b/>
                <w:color w:val="000000"/>
                <w:sz w:val="18"/>
                <w:szCs w:val="18"/>
              </w:rPr>
            </w:pPr>
            <w:r>
              <w:rPr>
                <w:b/>
                <w:color w:val="000000"/>
                <w:sz w:val="18"/>
                <w:szCs w:val="18"/>
              </w:rPr>
              <w:t>10</w:t>
            </w:r>
          </w:p>
        </w:tc>
      </w:tr>
      <w:tr w14:paraId="22A5B50E">
        <w:tblPrEx>
          <w:tblCellMar>
            <w:top w:w="0" w:type="dxa"/>
            <w:left w:w="70" w:type="dxa"/>
            <w:bottom w:w="0" w:type="dxa"/>
            <w:right w:w="70" w:type="dxa"/>
          </w:tblCellMar>
        </w:tblPrEx>
        <w:trPr>
          <w:trHeight w:val="619"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156345B9">
            <w:pPr>
              <w:spacing w:line="240" w:lineRule="auto"/>
              <w:jc w:val="center"/>
              <w:rPr>
                <w:bCs/>
                <w:color w:val="000000"/>
                <w:sz w:val="16"/>
                <w:szCs w:val="16"/>
              </w:rPr>
            </w:pPr>
            <w:r>
              <w:rPr>
                <w:bCs/>
                <w:color w:val="000000"/>
                <w:sz w:val="16"/>
                <w:szCs w:val="16"/>
              </w:rPr>
              <w:t>91</w:t>
            </w:r>
          </w:p>
        </w:tc>
        <w:tc>
          <w:tcPr>
            <w:tcW w:w="6095" w:type="dxa"/>
            <w:tcBorders>
              <w:top w:val="single" w:color="000000" w:sz="4" w:space="0"/>
              <w:left w:val="single" w:color="000000" w:sz="4" w:space="0"/>
              <w:bottom w:val="single" w:color="000000" w:sz="4" w:space="0"/>
              <w:right w:val="single" w:color="000000" w:sz="4" w:space="0"/>
            </w:tcBorders>
            <w:vAlign w:val="center"/>
          </w:tcPr>
          <w:p w14:paraId="1C76943D">
            <w:pPr>
              <w:spacing w:line="240" w:lineRule="auto"/>
              <w:rPr>
                <w:bCs/>
                <w:color w:val="000000"/>
                <w:sz w:val="16"/>
                <w:szCs w:val="16"/>
              </w:rPr>
            </w:pPr>
            <w:r>
              <w:rPr>
                <w:bCs/>
                <w:sz w:val="16"/>
                <w:szCs w:val="16"/>
              </w:rPr>
              <w:t>AV. LIONS INTERNACIONAL, VILA AURORA II - CEMITÉRIO</w:t>
            </w:r>
            <w:r>
              <w:rPr>
                <w:bCs/>
                <w:sz w:val="16"/>
                <w:szCs w:val="16"/>
              </w:rPr>
              <w:br w:type="textWrapping"/>
            </w:r>
            <w:r>
              <w:rPr>
                <w:bCs/>
                <w:sz w:val="16"/>
                <w:szCs w:val="16"/>
              </w:rPr>
              <w:t>MUNICIPAL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0C21AD53">
            <w:pPr>
              <w:spacing w:line="240" w:lineRule="auto"/>
              <w:jc w:val="center"/>
              <w:rPr>
                <w:bCs/>
                <w:sz w:val="16"/>
                <w:szCs w:val="16"/>
              </w:rPr>
            </w:pPr>
            <w:r>
              <w:rPr>
                <w:bCs/>
                <w:sz w:val="16"/>
                <w:szCs w:val="16"/>
              </w:rPr>
              <w:t>LOMBADA ELETRÔNICA</w:t>
            </w:r>
          </w:p>
        </w:tc>
        <w:tc>
          <w:tcPr>
            <w:tcW w:w="1134" w:type="dxa"/>
            <w:tcBorders>
              <w:top w:val="single" w:color="000000" w:sz="4" w:space="0"/>
              <w:left w:val="single" w:color="000000" w:sz="4" w:space="0"/>
              <w:bottom w:val="single" w:color="000000" w:sz="4" w:space="0"/>
              <w:right w:val="single" w:color="000000" w:sz="4" w:space="0"/>
            </w:tcBorders>
            <w:vAlign w:val="center"/>
          </w:tcPr>
          <w:p w14:paraId="0302EF5F">
            <w:pPr>
              <w:spacing w:line="240" w:lineRule="auto"/>
              <w:jc w:val="center"/>
              <w:rPr>
                <w:bCs/>
                <w:color w:val="000000"/>
                <w:sz w:val="16"/>
                <w:szCs w:val="16"/>
              </w:rPr>
            </w:pPr>
            <w:r>
              <w:rPr>
                <w:bCs/>
                <w:color w:val="000000"/>
                <w:sz w:val="16"/>
                <w:szCs w:val="16"/>
              </w:rPr>
              <w:t>2</w:t>
            </w:r>
          </w:p>
        </w:tc>
      </w:tr>
      <w:tr w14:paraId="4B30D6E1">
        <w:tblPrEx>
          <w:tblCellMar>
            <w:top w:w="0" w:type="dxa"/>
            <w:left w:w="70" w:type="dxa"/>
            <w:bottom w:w="0" w:type="dxa"/>
            <w:right w:w="70" w:type="dxa"/>
          </w:tblCellMar>
        </w:tblPrEx>
        <w:trPr>
          <w:trHeight w:val="589"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4A1F8DA3">
            <w:pPr>
              <w:spacing w:line="240" w:lineRule="auto"/>
              <w:jc w:val="center"/>
              <w:rPr>
                <w:bCs/>
                <w:color w:val="000000"/>
                <w:sz w:val="16"/>
                <w:szCs w:val="16"/>
              </w:rPr>
            </w:pPr>
            <w:r>
              <w:rPr>
                <w:bCs/>
                <w:color w:val="000000"/>
                <w:sz w:val="16"/>
                <w:szCs w:val="16"/>
              </w:rPr>
              <w:t>92</w:t>
            </w:r>
          </w:p>
        </w:tc>
        <w:tc>
          <w:tcPr>
            <w:tcW w:w="6095" w:type="dxa"/>
            <w:tcBorders>
              <w:top w:val="single" w:color="000000" w:sz="4" w:space="0"/>
              <w:left w:val="single" w:color="000000" w:sz="4" w:space="0"/>
              <w:bottom w:val="single" w:color="000000" w:sz="4" w:space="0"/>
              <w:right w:val="single" w:color="000000" w:sz="4" w:space="0"/>
            </w:tcBorders>
            <w:vAlign w:val="center"/>
          </w:tcPr>
          <w:p w14:paraId="378995DC">
            <w:pPr>
              <w:spacing w:line="240" w:lineRule="auto"/>
              <w:rPr>
                <w:bCs/>
                <w:color w:val="000000"/>
                <w:sz w:val="16"/>
                <w:szCs w:val="16"/>
              </w:rPr>
            </w:pPr>
            <w:r>
              <w:rPr>
                <w:bCs/>
                <w:sz w:val="16"/>
                <w:szCs w:val="16"/>
              </w:rPr>
              <w:t>AV. LIONS INTERNACIONAL, BAIRRO COOPHALIS - ESCOLA</w:t>
            </w:r>
            <w:r>
              <w:rPr>
                <w:bCs/>
                <w:sz w:val="16"/>
                <w:szCs w:val="16"/>
              </w:rPr>
              <w:br w:type="textWrapping"/>
            </w:r>
            <w:r>
              <w:rPr>
                <w:bCs/>
                <w:sz w:val="16"/>
                <w:szCs w:val="16"/>
              </w:rPr>
              <w:t>PROFA. RENILDA SILVA DE MORAES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3446E520">
            <w:pPr>
              <w:spacing w:line="240" w:lineRule="auto"/>
              <w:jc w:val="center"/>
              <w:rPr>
                <w:bCs/>
                <w:sz w:val="16"/>
                <w:szCs w:val="16"/>
              </w:rPr>
            </w:pPr>
            <w:r>
              <w:rPr>
                <w:bCs/>
                <w:sz w:val="16"/>
                <w:szCs w:val="16"/>
              </w:rPr>
              <w:t>LOMBADA ELETRÔNICA</w:t>
            </w:r>
          </w:p>
        </w:tc>
        <w:tc>
          <w:tcPr>
            <w:tcW w:w="1134" w:type="dxa"/>
            <w:tcBorders>
              <w:top w:val="single" w:color="000000" w:sz="4" w:space="0"/>
              <w:left w:val="single" w:color="000000" w:sz="4" w:space="0"/>
              <w:bottom w:val="single" w:color="000000" w:sz="4" w:space="0"/>
              <w:right w:val="single" w:color="000000" w:sz="4" w:space="0"/>
            </w:tcBorders>
            <w:vAlign w:val="center"/>
          </w:tcPr>
          <w:p w14:paraId="1ED0CC0D">
            <w:pPr>
              <w:spacing w:line="240" w:lineRule="auto"/>
              <w:jc w:val="center"/>
              <w:rPr>
                <w:bCs/>
                <w:color w:val="000000"/>
                <w:sz w:val="16"/>
                <w:szCs w:val="16"/>
              </w:rPr>
            </w:pPr>
            <w:r>
              <w:rPr>
                <w:bCs/>
                <w:color w:val="000000"/>
                <w:sz w:val="16"/>
                <w:szCs w:val="16"/>
              </w:rPr>
              <w:t>2</w:t>
            </w:r>
          </w:p>
        </w:tc>
      </w:tr>
      <w:tr w14:paraId="48075466">
        <w:tblPrEx>
          <w:tblCellMar>
            <w:top w:w="0" w:type="dxa"/>
            <w:left w:w="70" w:type="dxa"/>
            <w:bottom w:w="0" w:type="dxa"/>
            <w:right w:w="70"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2BB04C82">
            <w:pPr>
              <w:spacing w:line="240" w:lineRule="auto"/>
              <w:jc w:val="center"/>
              <w:rPr>
                <w:bCs/>
                <w:color w:val="000000"/>
                <w:sz w:val="16"/>
                <w:szCs w:val="16"/>
              </w:rPr>
            </w:pPr>
            <w:r>
              <w:rPr>
                <w:bCs/>
                <w:color w:val="000000"/>
                <w:sz w:val="16"/>
                <w:szCs w:val="16"/>
              </w:rPr>
              <w:t>93</w:t>
            </w:r>
          </w:p>
        </w:tc>
        <w:tc>
          <w:tcPr>
            <w:tcW w:w="6095" w:type="dxa"/>
            <w:tcBorders>
              <w:top w:val="single" w:color="000000" w:sz="4" w:space="0"/>
              <w:left w:val="single" w:color="000000" w:sz="4" w:space="0"/>
              <w:bottom w:val="single" w:color="000000" w:sz="4" w:space="0"/>
              <w:right w:val="single" w:color="000000" w:sz="4" w:space="0"/>
            </w:tcBorders>
            <w:vAlign w:val="center"/>
          </w:tcPr>
          <w:p w14:paraId="2573D7BE">
            <w:pPr>
              <w:spacing w:line="240" w:lineRule="auto"/>
              <w:rPr>
                <w:bCs/>
                <w:color w:val="000000"/>
                <w:sz w:val="16"/>
                <w:szCs w:val="16"/>
              </w:rPr>
            </w:pPr>
            <w:r>
              <w:rPr>
                <w:bCs/>
                <w:sz w:val="16"/>
                <w:szCs w:val="16"/>
              </w:rPr>
              <w:t>RUA BARÃO DO RIO BRANCO, BAIRRO LA SALLE - PROX.</w:t>
            </w:r>
            <w:r>
              <w:rPr>
                <w:bCs/>
                <w:sz w:val="16"/>
                <w:szCs w:val="16"/>
              </w:rPr>
              <w:br w:type="textWrapping"/>
            </w:r>
            <w:r>
              <w:rPr>
                <w:bCs/>
                <w:sz w:val="16"/>
                <w:szCs w:val="16"/>
              </w:rPr>
              <w:t>AO FÓRUM DE JUSTIÇA [Sentido: Bairro/Centro]</w:t>
            </w:r>
          </w:p>
        </w:tc>
        <w:tc>
          <w:tcPr>
            <w:tcW w:w="1276" w:type="dxa"/>
            <w:tcBorders>
              <w:top w:val="single" w:color="000000" w:sz="4" w:space="0"/>
              <w:left w:val="single" w:color="000000" w:sz="4" w:space="0"/>
              <w:bottom w:val="single" w:color="000000" w:sz="4" w:space="0"/>
              <w:right w:val="single" w:color="000000" w:sz="4" w:space="0"/>
            </w:tcBorders>
            <w:vAlign w:val="center"/>
          </w:tcPr>
          <w:p w14:paraId="6828568F">
            <w:pPr>
              <w:spacing w:line="240" w:lineRule="auto"/>
              <w:jc w:val="center"/>
              <w:rPr>
                <w:bCs/>
                <w:sz w:val="16"/>
                <w:szCs w:val="16"/>
              </w:rPr>
            </w:pPr>
            <w:r>
              <w:rPr>
                <w:bCs/>
                <w:sz w:val="16"/>
                <w:szCs w:val="16"/>
              </w:rPr>
              <w:t>LOMBADA ELETRÔNICA</w:t>
            </w:r>
          </w:p>
        </w:tc>
        <w:tc>
          <w:tcPr>
            <w:tcW w:w="1134" w:type="dxa"/>
            <w:tcBorders>
              <w:top w:val="single" w:color="000000" w:sz="4" w:space="0"/>
              <w:left w:val="single" w:color="000000" w:sz="4" w:space="0"/>
              <w:bottom w:val="single" w:color="000000" w:sz="4" w:space="0"/>
              <w:right w:val="single" w:color="000000" w:sz="4" w:space="0"/>
            </w:tcBorders>
            <w:vAlign w:val="center"/>
          </w:tcPr>
          <w:p w14:paraId="6E8D912D">
            <w:pPr>
              <w:spacing w:line="240" w:lineRule="auto"/>
              <w:jc w:val="center"/>
              <w:rPr>
                <w:bCs/>
                <w:color w:val="000000"/>
                <w:sz w:val="16"/>
                <w:szCs w:val="16"/>
              </w:rPr>
            </w:pPr>
            <w:r>
              <w:rPr>
                <w:bCs/>
                <w:color w:val="000000"/>
                <w:sz w:val="16"/>
                <w:szCs w:val="16"/>
              </w:rPr>
              <w:t>2</w:t>
            </w:r>
          </w:p>
        </w:tc>
      </w:tr>
      <w:tr w14:paraId="0FDEFF31">
        <w:tblPrEx>
          <w:tblCellMar>
            <w:top w:w="0" w:type="dxa"/>
            <w:left w:w="70" w:type="dxa"/>
            <w:bottom w:w="0" w:type="dxa"/>
            <w:right w:w="70"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5C3D9A01">
            <w:pPr>
              <w:spacing w:line="240" w:lineRule="auto"/>
              <w:jc w:val="center"/>
              <w:rPr>
                <w:bCs/>
                <w:color w:val="000000"/>
                <w:sz w:val="16"/>
                <w:szCs w:val="16"/>
              </w:rPr>
            </w:pPr>
            <w:r>
              <w:rPr>
                <w:bCs/>
                <w:color w:val="000000"/>
                <w:sz w:val="16"/>
                <w:szCs w:val="16"/>
              </w:rPr>
              <w:t>94</w:t>
            </w:r>
          </w:p>
        </w:tc>
        <w:tc>
          <w:tcPr>
            <w:tcW w:w="6095" w:type="dxa"/>
            <w:tcBorders>
              <w:top w:val="single" w:color="000000" w:sz="4" w:space="0"/>
              <w:left w:val="single" w:color="000000" w:sz="4" w:space="0"/>
              <w:bottom w:val="single" w:color="000000" w:sz="4" w:space="0"/>
              <w:right w:val="single" w:color="000000" w:sz="4" w:space="0"/>
            </w:tcBorders>
            <w:vAlign w:val="center"/>
          </w:tcPr>
          <w:p w14:paraId="424A071C">
            <w:pPr>
              <w:spacing w:line="240" w:lineRule="auto"/>
              <w:rPr>
                <w:bCs/>
                <w:color w:val="000000"/>
                <w:sz w:val="16"/>
                <w:szCs w:val="16"/>
              </w:rPr>
            </w:pPr>
            <w:r>
              <w:rPr>
                <w:bCs/>
                <w:sz w:val="16"/>
                <w:szCs w:val="16"/>
              </w:rPr>
              <w:t>AV. FERNANDO CORRÊA DA COSTA, N 478 - BAIRRO VILA</w:t>
            </w:r>
            <w:r>
              <w:rPr>
                <w:bCs/>
                <w:sz w:val="16"/>
                <w:szCs w:val="16"/>
              </w:rPr>
              <w:br w:type="textWrapping"/>
            </w:r>
            <w:r>
              <w:rPr>
                <w:bCs/>
                <w:sz w:val="16"/>
                <w:szCs w:val="16"/>
              </w:rPr>
              <w:t>AURORA I - Prox. BIG MASTER [Sentido: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CFF827B">
            <w:pPr>
              <w:spacing w:line="240" w:lineRule="auto"/>
              <w:jc w:val="center"/>
              <w:rPr>
                <w:bCs/>
                <w:sz w:val="16"/>
                <w:szCs w:val="16"/>
              </w:rPr>
            </w:pPr>
            <w:r>
              <w:rPr>
                <w:bCs/>
                <w:sz w:val="16"/>
                <w:szCs w:val="16"/>
              </w:rPr>
              <w:t>LOMBADA ELETRÔNICA</w:t>
            </w:r>
          </w:p>
        </w:tc>
        <w:tc>
          <w:tcPr>
            <w:tcW w:w="1134" w:type="dxa"/>
            <w:tcBorders>
              <w:top w:val="single" w:color="000000" w:sz="4" w:space="0"/>
              <w:left w:val="single" w:color="000000" w:sz="4" w:space="0"/>
              <w:bottom w:val="single" w:color="000000" w:sz="4" w:space="0"/>
              <w:right w:val="single" w:color="000000" w:sz="4" w:space="0"/>
            </w:tcBorders>
            <w:vAlign w:val="center"/>
          </w:tcPr>
          <w:p w14:paraId="613D8332">
            <w:pPr>
              <w:spacing w:line="240" w:lineRule="auto"/>
              <w:jc w:val="center"/>
              <w:rPr>
                <w:bCs/>
                <w:color w:val="000000"/>
                <w:sz w:val="16"/>
                <w:szCs w:val="16"/>
              </w:rPr>
            </w:pPr>
            <w:r>
              <w:rPr>
                <w:bCs/>
                <w:color w:val="000000"/>
                <w:sz w:val="16"/>
                <w:szCs w:val="16"/>
              </w:rPr>
              <w:t>2</w:t>
            </w:r>
          </w:p>
        </w:tc>
      </w:tr>
      <w:tr w14:paraId="7E80D29C">
        <w:tblPrEx>
          <w:tblCellMar>
            <w:top w:w="0" w:type="dxa"/>
            <w:left w:w="70" w:type="dxa"/>
            <w:bottom w:w="0" w:type="dxa"/>
            <w:right w:w="70" w:type="dxa"/>
          </w:tblCellMar>
        </w:tblPrEx>
        <w:trPr>
          <w:trHeight w:val="600" w:hRule="atLeast"/>
        </w:trPr>
        <w:tc>
          <w:tcPr>
            <w:tcW w:w="709" w:type="dxa"/>
            <w:tcBorders>
              <w:top w:val="single" w:color="000000" w:sz="4" w:space="0"/>
              <w:left w:val="single" w:color="000000" w:sz="4" w:space="0"/>
              <w:bottom w:val="single" w:color="000000" w:sz="4" w:space="0"/>
              <w:right w:val="single" w:color="000000" w:sz="4" w:space="0"/>
            </w:tcBorders>
            <w:vAlign w:val="center"/>
          </w:tcPr>
          <w:p w14:paraId="78F0AF19">
            <w:pPr>
              <w:spacing w:line="240" w:lineRule="auto"/>
              <w:jc w:val="center"/>
              <w:rPr>
                <w:bCs/>
                <w:color w:val="000000"/>
                <w:sz w:val="16"/>
                <w:szCs w:val="16"/>
              </w:rPr>
            </w:pPr>
            <w:r>
              <w:rPr>
                <w:bCs/>
                <w:color w:val="000000"/>
                <w:sz w:val="16"/>
                <w:szCs w:val="16"/>
              </w:rPr>
              <w:t>95</w:t>
            </w:r>
          </w:p>
        </w:tc>
        <w:tc>
          <w:tcPr>
            <w:tcW w:w="6095" w:type="dxa"/>
            <w:tcBorders>
              <w:top w:val="single" w:color="000000" w:sz="4" w:space="0"/>
              <w:left w:val="single" w:color="000000" w:sz="4" w:space="0"/>
              <w:bottom w:val="single" w:color="000000" w:sz="4" w:space="0"/>
              <w:right w:val="single" w:color="000000" w:sz="4" w:space="0"/>
            </w:tcBorders>
            <w:vAlign w:val="center"/>
          </w:tcPr>
          <w:p w14:paraId="447A4A0B">
            <w:pPr>
              <w:spacing w:line="240" w:lineRule="auto"/>
              <w:rPr>
                <w:bCs/>
                <w:color w:val="000000"/>
                <w:sz w:val="16"/>
                <w:szCs w:val="16"/>
              </w:rPr>
            </w:pPr>
            <w:r>
              <w:rPr>
                <w:bCs/>
                <w:sz w:val="16"/>
                <w:szCs w:val="16"/>
              </w:rPr>
              <w:t>AV. BRASIL, BAIRRO JD. PARTICIPAÇÃO I - ESCOLA ANDRÉ</w:t>
            </w:r>
            <w:r>
              <w:rPr>
                <w:bCs/>
                <w:sz w:val="16"/>
                <w:szCs w:val="16"/>
              </w:rPr>
              <w:br w:type="textWrapping"/>
            </w:r>
            <w:r>
              <w:rPr>
                <w:bCs/>
                <w:sz w:val="16"/>
                <w:szCs w:val="16"/>
              </w:rPr>
              <w:t>MAGGI [Centro/Bairro]</w:t>
            </w:r>
          </w:p>
        </w:tc>
        <w:tc>
          <w:tcPr>
            <w:tcW w:w="1276" w:type="dxa"/>
            <w:tcBorders>
              <w:top w:val="single" w:color="000000" w:sz="4" w:space="0"/>
              <w:left w:val="single" w:color="000000" w:sz="4" w:space="0"/>
              <w:bottom w:val="single" w:color="000000" w:sz="4" w:space="0"/>
              <w:right w:val="single" w:color="000000" w:sz="4" w:space="0"/>
            </w:tcBorders>
            <w:vAlign w:val="center"/>
          </w:tcPr>
          <w:p w14:paraId="22775A7F">
            <w:pPr>
              <w:spacing w:line="240" w:lineRule="auto"/>
              <w:jc w:val="center"/>
              <w:rPr>
                <w:bCs/>
                <w:sz w:val="16"/>
                <w:szCs w:val="16"/>
              </w:rPr>
            </w:pPr>
            <w:r>
              <w:rPr>
                <w:bCs/>
                <w:sz w:val="16"/>
                <w:szCs w:val="16"/>
              </w:rPr>
              <w:t>LOMBADA ELETRÔNICA</w:t>
            </w:r>
          </w:p>
        </w:tc>
        <w:tc>
          <w:tcPr>
            <w:tcW w:w="1134" w:type="dxa"/>
            <w:tcBorders>
              <w:top w:val="single" w:color="000000" w:sz="4" w:space="0"/>
              <w:left w:val="single" w:color="000000" w:sz="4" w:space="0"/>
              <w:bottom w:val="single" w:color="000000" w:sz="4" w:space="0"/>
              <w:right w:val="single" w:color="000000" w:sz="4" w:space="0"/>
            </w:tcBorders>
            <w:vAlign w:val="center"/>
          </w:tcPr>
          <w:p w14:paraId="57D76D16">
            <w:pPr>
              <w:spacing w:line="240" w:lineRule="auto"/>
              <w:jc w:val="center"/>
              <w:rPr>
                <w:bCs/>
                <w:color w:val="000000"/>
                <w:sz w:val="16"/>
                <w:szCs w:val="16"/>
              </w:rPr>
            </w:pPr>
            <w:r>
              <w:rPr>
                <w:bCs/>
                <w:color w:val="000000"/>
                <w:sz w:val="16"/>
                <w:szCs w:val="16"/>
              </w:rPr>
              <w:t>2</w:t>
            </w:r>
          </w:p>
        </w:tc>
      </w:tr>
    </w:tbl>
    <w:p w14:paraId="7449BB65">
      <w:pPr>
        <w:rPr>
          <w:b/>
          <w:color w:val="000000"/>
          <w:highlight w:val="cyan"/>
        </w:rPr>
      </w:pPr>
    </w:p>
    <w:p w14:paraId="556FB066">
      <w:pPr>
        <w:rPr>
          <w:b/>
          <w:color w:val="000000"/>
          <w:highlight w:val="cyan"/>
        </w:rPr>
      </w:pPr>
    </w:p>
    <w:p w14:paraId="38407318">
      <w:pPr>
        <w:pStyle w:val="3"/>
        <w:jc w:val="both"/>
        <w:rPr>
          <w:rFonts w:ascii="Arial" w:hAnsi="Arial" w:eastAsia="Arial" w:cs="Arial"/>
          <w:b/>
          <w:color w:val="000000"/>
          <w:sz w:val="22"/>
          <w:szCs w:val="22"/>
        </w:rPr>
      </w:pPr>
      <w:r>
        <w:rPr>
          <w:rFonts w:ascii="Arial" w:hAnsi="Arial" w:eastAsia="Arial" w:cs="Arial"/>
          <w:b/>
          <w:color w:val="000000"/>
          <w:sz w:val="22"/>
          <w:szCs w:val="22"/>
        </w:rPr>
        <w:t>13. 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p w14:paraId="7854968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sistema a ser adotado deve ser um Sistema Automático Não Metrológico de Fiscalização de Trânsito (SAnMFT) que tenha a capacidade de caracterizar de forma inequívoca as infrações estipuladas no Artigo 187 do Código de Trânsito Brasileiro (CTB), incluindo a definição das penalidades associadas a transgressões relacionadas a locais e horários não permitidos de acordo com as regulamentações da autoridade de trânsito competente.</w:t>
      </w:r>
    </w:p>
    <w:p w14:paraId="4A9E99D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em questão precisa estar em conformidade com a Portaria DENATRAN no 882/2021. Essa portaria estabelece as condições específicas para a utilização dos SAnMFT na fiscalização das infrações mencionadas no Artigo 187 do CTB, focalizando os veículos de grande porte, categorizados com base no número de eixos.</w:t>
      </w:r>
    </w:p>
    <w:p w14:paraId="3917CAD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Além disso, o equipamento deve ser devidamente homologado de acordo com os requisitos estabelecidos na Portaria Inmetro no 492, de 10 de dezembro de 2021. Essa regulamentação delimita os padrões para os SAnMFT, abrangendo todos os critérios de Avaliação da Conformidade conforme estabelecido no Regulamento de Avaliação da Conformidade do Inmetro (RAC Inmetro). O equipamento deve ainda apresentar o número de registro correspondente à sua Declaração de Conformidade de Fornecedor, de acordo com a mencionada Portaria Inmetro.</w:t>
      </w:r>
    </w:p>
    <w:p w14:paraId="0811B07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deve ser capaz de registrar, por meio de imagens, a circulação de veículos de carga, fornecendo dados estatísticos que auxiliarão a administração pública no planejamento de ações relacionadas à conservação e manutenção de vias urbanas, bem como na regulamentação do tráfego de caminhões e na gestão de serviços de carga e descarga.</w:t>
      </w:r>
    </w:p>
    <w:p w14:paraId="378463B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deve conter uma câmera para cada faixa da via com objetivo de identificar veículos de grande porte proibidos de circular, o sistema deve ser do tipo fixo, garantindo a detecção automática de acordo com as diretrizes estabelecidas na legislação federal que regulamenta seu uso.</w:t>
      </w:r>
    </w:p>
    <w:p w14:paraId="4466D10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 instalação do equipamento do tipo fixo deve ser permanente, sem intervenção de operador externo, garantindo o registro de imagens e informações conforme estabelecido por lei.</w:t>
      </w:r>
    </w:p>
    <w:p w14:paraId="32F50F9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 detecção da passagem de veículos deve ser realizada por meio de laços indutivos incorporados às faixas de rolamento a serem fiscalizadas. A detecção do número de eixos dos veículos pode ser feita por meio de um processo sensor piezo pneumático, tubos pneumáticos permanentes ou qualquer outra forma de sensoriamento direto da superfície que meça a variação de alguma grandeza física na passagem do eixo do veículo.</w:t>
      </w:r>
    </w:p>
    <w:p w14:paraId="6FEDF03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As imagens capturadas pelo equipamento, quando se verificar um número de eixos superior ao programado, devem permitir a identificação precisa do veículo automotor, sua placa (dianteira e do cavalo, possibilitando a escolha da que estiver em melhores condições para a imposição de penalidades), modelo, marca, local da infração, data (dia/mês/ano), horário (hora/minuto/segundo), identificação do órgão gestor, faixa de rolamento, código e data de verificação do equipamento, além do número de registro do equipamento.</w:t>
      </w:r>
    </w:p>
    <w:p w14:paraId="4D7B512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A captura de imagens deve ser realizada por meio de processos digitais, garantindo a identificação precisa das características do veículo, com resolução de 2MP, a fim de possibilitar uma visualização das placas do veículo infrator. </w:t>
      </w:r>
    </w:p>
    <w:p w14:paraId="7445077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Deve ser comprovado que o posicionamento angular dos diversos dispositivos de captura de imagem é capaz de fornecer resultados confiáveis para a fiscalização, seguindo um mecanismo aprovado pelo Inmetro especificamente para essa finalidade.</w:t>
      </w:r>
    </w:p>
    <w:p w14:paraId="433FF5F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deve permitir a captura de imagens durante 24 horas diárias. Deve também dispor de capacidade mínima de armazenamento para 3.000 imagens, verificar a consistência dos parâmetros operacionais e permitir a entrada em funcionamento em horários programados a critério da SECRETARIA DE MOBILIDADE URBANA.</w:t>
      </w:r>
    </w:p>
    <w:p w14:paraId="195E203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Para garantir seu funcionamento em diversas condições, o equipamento deve ser resistente a temperaturas ambientes na faixa de 0oC a 50oC e possuir uma estrutura rígida, devidamente equipada com acessórios para sua fixação no local de instalação. Essa estrutura deve ser resistente ao vandalismo e às condições climáticas adversas, além de ser tratada para evitar oxidação.</w:t>
      </w:r>
    </w:p>
    <w:p w14:paraId="0B68680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equipamento deve ser provido de um sistema independente de energia para manter o relógio interno e os dados e imagens em caso de interrupção no fornecimento de energia elétrica. Esse sistema autônomo deve garantir o funcionamento do equipamento por, no mínimo, 30 minutos na ausência de energia.</w:t>
      </w:r>
    </w:p>
    <w:p w14:paraId="53D5C35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O sistema de aterramento deve ser projetado de forma a minimizar os riscos de incidentes relacionados a descargas elétricas, bem como a reduzir a probabilidade de danos causados por descargas eletrostáticas, com foco na segurança dos usuários da via.</w:t>
      </w:r>
    </w:p>
    <w:p w14:paraId="02E2A3B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905"/>
        <w:gridCol w:w="2553"/>
        <w:gridCol w:w="1474"/>
        <w:gridCol w:w="1775"/>
        <w:gridCol w:w="1433"/>
      </w:tblGrid>
      <w:tr w14:paraId="37E50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905" w:type="dxa"/>
            <w:shd w:val="clear" w:color="auto" w:fill="D9D9D9"/>
            <w:vAlign w:val="center"/>
          </w:tcPr>
          <w:p w14:paraId="3DA9B541">
            <w:pPr>
              <w:spacing w:line="360" w:lineRule="auto"/>
              <w:jc w:val="center"/>
              <w:rPr>
                <w:b/>
                <w:bCs/>
                <w:sz w:val="20"/>
                <w:szCs w:val="20"/>
              </w:rPr>
            </w:pPr>
            <w:r>
              <w:rPr>
                <w:b/>
                <w:bCs/>
                <w:sz w:val="20"/>
                <w:szCs w:val="20"/>
              </w:rPr>
              <w:t>CATEGORIAS</w:t>
            </w:r>
          </w:p>
        </w:tc>
        <w:tc>
          <w:tcPr>
            <w:tcW w:w="2553" w:type="dxa"/>
            <w:shd w:val="clear" w:color="auto" w:fill="D9D9D9"/>
            <w:vAlign w:val="center"/>
          </w:tcPr>
          <w:p w14:paraId="329B481E">
            <w:pPr>
              <w:spacing w:line="360" w:lineRule="auto"/>
              <w:jc w:val="center"/>
              <w:rPr>
                <w:b/>
                <w:bCs/>
                <w:sz w:val="20"/>
                <w:szCs w:val="20"/>
              </w:rPr>
            </w:pPr>
            <w:r>
              <w:rPr>
                <w:b/>
                <w:bCs/>
                <w:sz w:val="20"/>
                <w:szCs w:val="20"/>
              </w:rPr>
              <w:t>DESCRIÇÃO</w:t>
            </w:r>
          </w:p>
        </w:tc>
        <w:tc>
          <w:tcPr>
            <w:tcW w:w="1474" w:type="dxa"/>
            <w:shd w:val="clear" w:color="auto" w:fill="D9D9D9"/>
            <w:vAlign w:val="center"/>
          </w:tcPr>
          <w:p w14:paraId="0A2A8802">
            <w:pPr>
              <w:spacing w:line="360" w:lineRule="auto"/>
              <w:jc w:val="center"/>
              <w:rPr>
                <w:b/>
                <w:bCs/>
                <w:sz w:val="20"/>
                <w:szCs w:val="20"/>
              </w:rPr>
            </w:pPr>
            <w:r>
              <w:rPr>
                <w:b/>
                <w:bCs/>
                <w:sz w:val="20"/>
                <w:szCs w:val="20"/>
              </w:rPr>
              <w:t>QUANTIDADE</w:t>
            </w:r>
          </w:p>
          <w:p w14:paraId="1CB077CA">
            <w:pPr>
              <w:spacing w:line="360" w:lineRule="auto"/>
              <w:jc w:val="center"/>
              <w:rPr>
                <w:b/>
                <w:bCs/>
                <w:sz w:val="20"/>
                <w:szCs w:val="20"/>
              </w:rPr>
            </w:pPr>
            <w:r>
              <w:rPr>
                <w:b/>
                <w:bCs/>
                <w:sz w:val="20"/>
                <w:szCs w:val="20"/>
              </w:rPr>
              <w:t>DE EIXOS</w:t>
            </w:r>
          </w:p>
        </w:tc>
        <w:tc>
          <w:tcPr>
            <w:tcW w:w="1775" w:type="dxa"/>
            <w:shd w:val="clear" w:color="auto" w:fill="D9D9D9"/>
            <w:vAlign w:val="center"/>
          </w:tcPr>
          <w:p w14:paraId="38F049AA">
            <w:pPr>
              <w:spacing w:line="360" w:lineRule="auto"/>
              <w:jc w:val="center"/>
              <w:rPr>
                <w:b/>
                <w:bCs/>
                <w:sz w:val="20"/>
                <w:szCs w:val="20"/>
              </w:rPr>
            </w:pPr>
            <w:r>
              <w:rPr>
                <w:b/>
                <w:bCs/>
                <w:sz w:val="20"/>
                <w:szCs w:val="20"/>
              </w:rPr>
              <w:t>EXISTÊNCIA DE RODAGEM DUPLA</w:t>
            </w:r>
          </w:p>
        </w:tc>
        <w:tc>
          <w:tcPr>
            <w:tcW w:w="1433" w:type="dxa"/>
            <w:shd w:val="clear" w:color="auto" w:fill="D9D9D9"/>
            <w:vAlign w:val="center"/>
          </w:tcPr>
          <w:p w14:paraId="7546CAF5">
            <w:pPr>
              <w:spacing w:line="360" w:lineRule="auto"/>
              <w:jc w:val="center"/>
              <w:rPr>
                <w:b/>
                <w:bCs/>
                <w:sz w:val="20"/>
                <w:szCs w:val="20"/>
              </w:rPr>
            </w:pPr>
            <w:r>
              <w:rPr>
                <w:b/>
                <w:bCs/>
                <w:sz w:val="20"/>
                <w:szCs w:val="20"/>
              </w:rPr>
              <w:t>MASSA METÁLICA</w:t>
            </w:r>
          </w:p>
        </w:tc>
      </w:tr>
      <w:tr w14:paraId="45F23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905" w:type="dxa"/>
            <w:vAlign w:val="center"/>
          </w:tcPr>
          <w:p w14:paraId="697549E6">
            <w:pPr>
              <w:spacing w:line="360" w:lineRule="auto"/>
              <w:jc w:val="center"/>
              <w:rPr>
                <w:sz w:val="20"/>
                <w:szCs w:val="20"/>
              </w:rPr>
            </w:pPr>
            <w:r>
              <w:rPr>
                <w:sz w:val="20"/>
                <w:szCs w:val="20"/>
              </w:rPr>
              <w:t>CAT 1</w:t>
            </w:r>
          </w:p>
        </w:tc>
        <w:tc>
          <w:tcPr>
            <w:tcW w:w="2553" w:type="dxa"/>
            <w:vAlign w:val="center"/>
          </w:tcPr>
          <w:p w14:paraId="53A0F9AF">
            <w:pPr>
              <w:spacing w:line="360" w:lineRule="auto"/>
              <w:jc w:val="center"/>
              <w:rPr>
                <w:sz w:val="20"/>
                <w:szCs w:val="20"/>
              </w:rPr>
            </w:pPr>
            <w:r>
              <w:rPr>
                <w:sz w:val="20"/>
                <w:szCs w:val="20"/>
              </w:rPr>
              <w:t>Veículos de Passeio</w:t>
            </w:r>
          </w:p>
        </w:tc>
        <w:tc>
          <w:tcPr>
            <w:tcW w:w="1474" w:type="dxa"/>
            <w:vAlign w:val="center"/>
          </w:tcPr>
          <w:p w14:paraId="61979573">
            <w:pPr>
              <w:spacing w:line="360" w:lineRule="auto"/>
              <w:jc w:val="center"/>
              <w:rPr>
                <w:sz w:val="20"/>
                <w:szCs w:val="20"/>
              </w:rPr>
            </w:pPr>
            <w:r>
              <w:rPr>
                <w:sz w:val="20"/>
                <w:szCs w:val="20"/>
              </w:rPr>
              <w:t>2</w:t>
            </w:r>
          </w:p>
        </w:tc>
        <w:tc>
          <w:tcPr>
            <w:tcW w:w="1775" w:type="dxa"/>
            <w:vAlign w:val="center"/>
          </w:tcPr>
          <w:p w14:paraId="0F4D45AE">
            <w:pPr>
              <w:spacing w:line="360" w:lineRule="auto"/>
              <w:jc w:val="center"/>
              <w:rPr>
                <w:sz w:val="20"/>
                <w:szCs w:val="20"/>
              </w:rPr>
            </w:pPr>
            <w:r>
              <w:rPr>
                <w:sz w:val="20"/>
                <w:szCs w:val="20"/>
              </w:rPr>
              <w:t>Não</w:t>
            </w:r>
          </w:p>
        </w:tc>
        <w:tc>
          <w:tcPr>
            <w:tcW w:w="1433" w:type="dxa"/>
            <w:vAlign w:val="center"/>
          </w:tcPr>
          <w:p w14:paraId="2276E314">
            <w:pPr>
              <w:spacing w:line="360" w:lineRule="auto"/>
              <w:jc w:val="center"/>
              <w:rPr>
                <w:sz w:val="20"/>
                <w:szCs w:val="20"/>
              </w:rPr>
            </w:pPr>
            <w:r>
              <w:rPr>
                <w:sz w:val="20"/>
                <w:szCs w:val="20"/>
              </w:rPr>
              <w:t>Sim</w:t>
            </w:r>
          </w:p>
        </w:tc>
      </w:tr>
      <w:tr w14:paraId="738DD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905" w:type="dxa"/>
            <w:vAlign w:val="center"/>
          </w:tcPr>
          <w:p w14:paraId="787FB570">
            <w:pPr>
              <w:spacing w:line="360" w:lineRule="auto"/>
              <w:jc w:val="center"/>
              <w:rPr>
                <w:sz w:val="20"/>
                <w:szCs w:val="20"/>
              </w:rPr>
            </w:pPr>
            <w:r>
              <w:rPr>
                <w:sz w:val="20"/>
                <w:szCs w:val="20"/>
              </w:rPr>
              <w:t>CAT 2</w:t>
            </w:r>
          </w:p>
        </w:tc>
        <w:tc>
          <w:tcPr>
            <w:tcW w:w="2553" w:type="dxa"/>
            <w:vAlign w:val="center"/>
          </w:tcPr>
          <w:p w14:paraId="566090DB">
            <w:pPr>
              <w:spacing w:line="360" w:lineRule="auto"/>
              <w:jc w:val="center"/>
              <w:rPr>
                <w:sz w:val="20"/>
                <w:szCs w:val="20"/>
              </w:rPr>
            </w:pPr>
            <w:r>
              <w:rPr>
                <w:sz w:val="20"/>
                <w:szCs w:val="20"/>
              </w:rPr>
              <w:t>Ônibus e Caminhão de Dois Eixos</w:t>
            </w:r>
          </w:p>
        </w:tc>
        <w:tc>
          <w:tcPr>
            <w:tcW w:w="1474" w:type="dxa"/>
            <w:vAlign w:val="center"/>
          </w:tcPr>
          <w:p w14:paraId="51A21579">
            <w:pPr>
              <w:spacing w:line="360" w:lineRule="auto"/>
              <w:jc w:val="center"/>
              <w:rPr>
                <w:sz w:val="20"/>
                <w:szCs w:val="20"/>
              </w:rPr>
            </w:pPr>
            <w:r>
              <w:rPr>
                <w:sz w:val="20"/>
                <w:szCs w:val="20"/>
              </w:rPr>
              <w:t>2</w:t>
            </w:r>
          </w:p>
        </w:tc>
        <w:tc>
          <w:tcPr>
            <w:tcW w:w="1775" w:type="dxa"/>
            <w:vAlign w:val="center"/>
          </w:tcPr>
          <w:p w14:paraId="521E9CB8">
            <w:pPr>
              <w:spacing w:line="360" w:lineRule="auto"/>
              <w:jc w:val="center"/>
              <w:rPr>
                <w:sz w:val="20"/>
                <w:szCs w:val="20"/>
              </w:rPr>
            </w:pPr>
            <w:r>
              <w:rPr>
                <w:sz w:val="20"/>
                <w:szCs w:val="20"/>
              </w:rPr>
              <w:t>Sim</w:t>
            </w:r>
          </w:p>
        </w:tc>
        <w:tc>
          <w:tcPr>
            <w:tcW w:w="1433" w:type="dxa"/>
            <w:vAlign w:val="center"/>
          </w:tcPr>
          <w:p w14:paraId="7B6F2FE8">
            <w:pPr>
              <w:spacing w:line="360" w:lineRule="auto"/>
              <w:jc w:val="center"/>
              <w:rPr>
                <w:sz w:val="20"/>
                <w:szCs w:val="20"/>
              </w:rPr>
            </w:pPr>
            <w:r>
              <w:rPr>
                <w:sz w:val="20"/>
                <w:szCs w:val="20"/>
              </w:rPr>
              <w:t>Sim</w:t>
            </w:r>
          </w:p>
        </w:tc>
      </w:tr>
      <w:tr w14:paraId="0CCA5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905" w:type="dxa"/>
            <w:vAlign w:val="center"/>
          </w:tcPr>
          <w:p w14:paraId="241D5B62">
            <w:pPr>
              <w:spacing w:line="360" w:lineRule="auto"/>
              <w:jc w:val="center"/>
              <w:rPr>
                <w:sz w:val="20"/>
                <w:szCs w:val="20"/>
              </w:rPr>
            </w:pPr>
            <w:r>
              <w:rPr>
                <w:sz w:val="20"/>
                <w:szCs w:val="20"/>
              </w:rPr>
              <w:t>CAT 3</w:t>
            </w:r>
          </w:p>
        </w:tc>
        <w:tc>
          <w:tcPr>
            <w:tcW w:w="2553" w:type="dxa"/>
            <w:vAlign w:val="center"/>
          </w:tcPr>
          <w:p w14:paraId="15478DF4">
            <w:pPr>
              <w:spacing w:line="360" w:lineRule="auto"/>
              <w:jc w:val="center"/>
              <w:rPr>
                <w:sz w:val="20"/>
                <w:szCs w:val="20"/>
              </w:rPr>
            </w:pPr>
            <w:r>
              <w:rPr>
                <w:sz w:val="20"/>
                <w:szCs w:val="20"/>
              </w:rPr>
              <w:t>Ônibus (</w:t>
            </w:r>
            <w:r>
              <w:rPr>
                <w:i/>
                <w:iCs/>
                <w:sz w:val="20"/>
                <w:szCs w:val="20"/>
              </w:rPr>
              <w:t>Tribus</w:t>
            </w:r>
            <w:r>
              <w:rPr>
                <w:sz w:val="20"/>
                <w:szCs w:val="20"/>
              </w:rPr>
              <w:t>) e Caminhão de Três Eixos</w:t>
            </w:r>
          </w:p>
        </w:tc>
        <w:tc>
          <w:tcPr>
            <w:tcW w:w="1474" w:type="dxa"/>
            <w:vAlign w:val="center"/>
          </w:tcPr>
          <w:p w14:paraId="751D8AD3">
            <w:pPr>
              <w:spacing w:line="360" w:lineRule="auto"/>
              <w:jc w:val="center"/>
              <w:rPr>
                <w:sz w:val="20"/>
                <w:szCs w:val="20"/>
              </w:rPr>
            </w:pPr>
            <w:r>
              <w:rPr>
                <w:sz w:val="20"/>
                <w:szCs w:val="20"/>
              </w:rPr>
              <w:t>3</w:t>
            </w:r>
          </w:p>
        </w:tc>
        <w:tc>
          <w:tcPr>
            <w:tcW w:w="1775" w:type="dxa"/>
            <w:vAlign w:val="center"/>
          </w:tcPr>
          <w:p w14:paraId="0963C1E8">
            <w:pPr>
              <w:spacing w:line="360" w:lineRule="auto"/>
              <w:jc w:val="center"/>
              <w:rPr>
                <w:sz w:val="20"/>
                <w:szCs w:val="20"/>
              </w:rPr>
            </w:pPr>
            <w:r>
              <w:rPr>
                <w:sz w:val="20"/>
                <w:szCs w:val="20"/>
              </w:rPr>
              <w:t>Sim</w:t>
            </w:r>
          </w:p>
        </w:tc>
        <w:tc>
          <w:tcPr>
            <w:tcW w:w="1433" w:type="dxa"/>
            <w:vAlign w:val="center"/>
          </w:tcPr>
          <w:p w14:paraId="5312A17E">
            <w:pPr>
              <w:spacing w:line="360" w:lineRule="auto"/>
              <w:jc w:val="center"/>
              <w:rPr>
                <w:sz w:val="20"/>
                <w:szCs w:val="20"/>
              </w:rPr>
            </w:pPr>
            <w:r>
              <w:rPr>
                <w:sz w:val="20"/>
                <w:szCs w:val="20"/>
              </w:rPr>
              <w:t>Sim</w:t>
            </w:r>
          </w:p>
        </w:tc>
      </w:tr>
      <w:tr w14:paraId="31C714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905" w:type="dxa"/>
            <w:vAlign w:val="center"/>
          </w:tcPr>
          <w:p w14:paraId="48BEE49B">
            <w:pPr>
              <w:spacing w:line="360" w:lineRule="auto"/>
              <w:jc w:val="center"/>
              <w:rPr>
                <w:sz w:val="20"/>
                <w:szCs w:val="20"/>
              </w:rPr>
            </w:pPr>
            <w:r>
              <w:rPr>
                <w:sz w:val="20"/>
                <w:szCs w:val="20"/>
              </w:rPr>
              <w:t>CAT 4</w:t>
            </w:r>
          </w:p>
        </w:tc>
        <w:tc>
          <w:tcPr>
            <w:tcW w:w="2553" w:type="dxa"/>
            <w:vAlign w:val="center"/>
          </w:tcPr>
          <w:p w14:paraId="5E54F5DC">
            <w:pPr>
              <w:spacing w:line="360" w:lineRule="auto"/>
              <w:jc w:val="center"/>
              <w:rPr>
                <w:sz w:val="20"/>
                <w:szCs w:val="20"/>
              </w:rPr>
            </w:pPr>
            <w:r>
              <w:rPr>
                <w:sz w:val="20"/>
                <w:szCs w:val="20"/>
              </w:rPr>
              <w:t>Caminhão de Quatro Eixos</w:t>
            </w:r>
          </w:p>
        </w:tc>
        <w:tc>
          <w:tcPr>
            <w:tcW w:w="1474" w:type="dxa"/>
            <w:vAlign w:val="center"/>
          </w:tcPr>
          <w:p w14:paraId="7C68D3CE">
            <w:pPr>
              <w:spacing w:line="360" w:lineRule="auto"/>
              <w:jc w:val="center"/>
              <w:rPr>
                <w:sz w:val="20"/>
                <w:szCs w:val="20"/>
              </w:rPr>
            </w:pPr>
            <w:r>
              <w:rPr>
                <w:sz w:val="20"/>
                <w:szCs w:val="20"/>
              </w:rPr>
              <w:t>4</w:t>
            </w:r>
          </w:p>
        </w:tc>
        <w:tc>
          <w:tcPr>
            <w:tcW w:w="1775" w:type="dxa"/>
            <w:vAlign w:val="center"/>
          </w:tcPr>
          <w:p w14:paraId="5C9292B3">
            <w:pPr>
              <w:spacing w:line="360" w:lineRule="auto"/>
              <w:jc w:val="center"/>
              <w:rPr>
                <w:sz w:val="20"/>
                <w:szCs w:val="20"/>
              </w:rPr>
            </w:pPr>
            <w:r>
              <w:rPr>
                <w:sz w:val="20"/>
                <w:szCs w:val="20"/>
              </w:rPr>
              <w:t>Sim</w:t>
            </w:r>
          </w:p>
        </w:tc>
        <w:tc>
          <w:tcPr>
            <w:tcW w:w="1433" w:type="dxa"/>
            <w:vAlign w:val="center"/>
          </w:tcPr>
          <w:p w14:paraId="7E12C972">
            <w:pPr>
              <w:spacing w:line="360" w:lineRule="auto"/>
              <w:jc w:val="center"/>
              <w:rPr>
                <w:sz w:val="20"/>
                <w:szCs w:val="20"/>
              </w:rPr>
            </w:pPr>
            <w:r>
              <w:rPr>
                <w:sz w:val="20"/>
                <w:szCs w:val="20"/>
              </w:rPr>
              <w:t>Sim</w:t>
            </w:r>
          </w:p>
        </w:tc>
      </w:tr>
      <w:tr w14:paraId="3CE3B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trPr>
        <w:tc>
          <w:tcPr>
            <w:tcW w:w="1905" w:type="dxa"/>
            <w:vAlign w:val="center"/>
          </w:tcPr>
          <w:p w14:paraId="3D609C37">
            <w:pPr>
              <w:spacing w:line="360" w:lineRule="auto"/>
              <w:jc w:val="center"/>
              <w:rPr>
                <w:sz w:val="20"/>
                <w:szCs w:val="20"/>
              </w:rPr>
            </w:pPr>
            <w:r>
              <w:rPr>
                <w:sz w:val="20"/>
                <w:szCs w:val="20"/>
              </w:rPr>
              <w:t>CAT 5 ou superior</w:t>
            </w:r>
          </w:p>
        </w:tc>
        <w:tc>
          <w:tcPr>
            <w:tcW w:w="2553" w:type="dxa"/>
            <w:vAlign w:val="center"/>
          </w:tcPr>
          <w:p w14:paraId="3E55AFF7">
            <w:pPr>
              <w:spacing w:line="360" w:lineRule="auto"/>
              <w:jc w:val="center"/>
              <w:rPr>
                <w:sz w:val="20"/>
                <w:szCs w:val="20"/>
              </w:rPr>
            </w:pPr>
            <w:r>
              <w:rPr>
                <w:sz w:val="20"/>
                <w:szCs w:val="20"/>
              </w:rPr>
              <w:t>Caminhão de Cinco Eixos ou Mais</w:t>
            </w:r>
          </w:p>
        </w:tc>
        <w:tc>
          <w:tcPr>
            <w:tcW w:w="1474" w:type="dxa"/>
            <w:vAlign w:val="center"/>
          </w:tcPr>
          <w:p w14:paraId="784C633B">
            <w:pPr>
              <w:spacing w:line="360" w:lineRule="auto"/>
              <w:jc w:val="center"/>
              <w:rPr>
                <w:sz w:val="20"/>
                <w:szCs w:val="20"/>
              </w:rPr>
            </w:pPr>
            <w:r>
              <w:rPr>
                <w:sz w:val="20"/>
                <w:szCs w:val="20"/>
              </w:rPr>
              <w:t>5 ou mais</w:t>
            </w:r>
          </w:p>
        </w:tc>
        <w:tc>
          <w:tcPr>
            <w:tcW w:w="1775" w:type="dxa"/>
            <w:vAlign w:val="center"/>
          </w:tcPr>
          <w:p w14:paraId="2587B9BC">
            <w:pPr>
              <w:spacing w:line="360" w:lineRule="auto"/>
              <w:jc w:val="center"/>
              <w:rPr>
                <w:sz w:val="20"/>
                <w:szCs w:val="20"/>
              </w:rPr>
            </w:pPr>
            <w:r>
              <w:rPr>
                <w:sz w:val="20"/>
                <w:szCs w:val="20"/>
              </w:rPr>
              <w:t>Sim</w:t>
            </w:r>
          </w:p>
        </w:tc>
        <w:tc>
          <w:tcPr>
            <w:tcW w:w="1433" w:type="dxa"/>
            <w:vAlign w:val="center"/>
          </w:tcPr>
          <w:p w14:paraId="62ED18F7">
            <w:pPr>
              <w:spacing w:line="360" w:lineRule="auto"/>
              <w:jc w:val="center"/>
              <w:rPr>
                <w:sz w:val="20"/>
                <w:szCs w:val="20"/>
              </w:rPr>
            </w:pPr>
            <w:r>
              <w:rPr>
                <w:sz w:val="20"/>
                <w:szCs w:val="20"/>
              </w:rPr>
              <w:t>Sim</w:t>
            </w:r>
          </w:p>
        </w:tc>
      </w:tr>
    </w:tbl>
    <w:p w14:paraId="7128B433">
      <w:pPr>
        <w:spacing w:before="276"/>
        <w:ind w:left="85"/>
        <w:jc w:val="both"/>
      </w:pPr>
    </w:p>
    <w:tbl>
      <w:tblPr>
        <w:tblStyle w:val="141"/>
        <w:tblW w:w="9209" w:type="dxa"/>
        <w:tblInd w:w="0" w:type="dxa"/>
        <w:tblLayout w:type="fixed"/>
        <w:tblCellMar>
          <w:top w:w="0" w:type="dxa"/>
          <w:left w:w="70" w:type="dxa"/>
          <w:bottom w:w="0" w:type="dxa"/>
          <w:right w:w="70" w:type="dxa"/>
        </w:tblCellMar>
      </w:tblPr>
      <w:tblGrid>
        <w:gridCol w:w="857"/>
        <w:gridCol w:w="160"/>
        <w:gridCol w:w="5499"/>
        <w:gridCol w:w="1276"/>
        <w:gridCol w:w="1417"/>
      </w:tblGrid>
      <w:tr w14:paraId="19028538">
        <w:tblPrEx>
          <w:tblCellMar>
            <w:top w:w="0" w:type="dxa"/>
            <w:left w:w="70" w:type="dxa"/>
            <w:bottom w:w="0" w:type="dxa"/>
            <w:right w:w="70" w:type="dxa"/>
          </w:tblCellMar>
        </w:tblPrEx>
        <w:trPr>
          <w:trHeight w:val="433" w:hRule="atLeast"/>
        </w:trPr>
        <w:tc>
          <w:tcPr>
            <w:tcW w:w="857" w:type="dxa"/>
            <w:tcBorders>
              <w:top w:val="single" w:color="000000" w:sz="4" w:space="0"/>
              <w:left w:val="single" w:color="000000" w:sz="4" w:space="0"/>
              <w:bottom w:val="nil"/>
              <w:right w:val="nil"/>
            </w:tcBorders>
            <w:shd w:val="clear" w:color="auto" w:fill="FFFFFF"/>
            <w:vAlign w:val="center"/>
          </w:tcPr>
          <w:p w14:paraId="7963AA6E">
            <w:pPr>
              <w:spacing w:line="240" w:lineRule="auto"/>
              <w:jc w:val="center"/>
              <w:rPr>
                <w:b/>
                <w:sz w:val="16"/>
                <w:szCs w:val="16"/>
              </w:rPr>
            </w:pPr>
            <w:r>
              <w:rPr>
                <w:b/>
                <w:sz w:val="16"/>
                <w:szCs w:val="16"/>
              </w:rPr>
              <w:t>PONTO</w:t>
            </w:r>
          </w:p>
        </w:tc>
        <w:tc>
          <w:tcPr>
            <w:tcW w:w="160" w:type="dxa"/>
            <w:tcBorders>
              <w:top w:val="single" w:color="000000" w:sz="4" w:space="0"/>
              <w:left w:val="nil"/>
              <w:bottom w:val="nil"/>
              <w:right w:val="single" w:color="000000" w:sz="4" w:space="0"/>
            </w:tcBorders>
            <w:shd w:val="clear" w:color="auto" w:fill="FFFFFF"/>
            <w:vAlign w:val="center"/>
          </w:tcPr>
          <w:p w14:paraId="7F8E26A2">
            <w:pPr>
              <w:spacing w:line="240" w:lineRule="auto"/>
              <w:jc w:val="center"/>
              <w:rPr>
                <w:b/>
                <w:color w:val="000000"/>
                <w:sz w:val="16"/>
                <w:szCs w:val="16"/>
              </w:rPr>
            </w:pPr>
          </w:p>
        </w:tc>
        <w:tc>
          <w:tcPr>
            <w:tcW w:w="5499" w:type="dxa"/>
            <w:tcBorders>
              <w:top w:val="single" w:color="000000" w:sz="4" w:space="0"/>
              <w:left w:val="nil"/>
              <w:bottom w:val="nil"/>
              <w:right w:val="single" w:color="000000" w:sz="4" w:space="0"/>
            </w:tcBorders>
            <w:shd w:val="clear" w:color="auto" w:fill="FFFFFF"/>
            <w:vAlign w:val="center"/>
          </w:tcPr>
          <w:p w14:paraId="0B6D0B9E">
            <w:pPr>
              <w:spacing w:line="240" w:lineRule="auto"/>
              <w:ind w:firstLine="1446"/>
              <w:rPr>
                <w:b/>
                <w:sz w:val="16"/>
                <w:szCs w:val="16"/>
              </w:rPr>
            </w:pPr>
            <w:r>
              <w:rPr>
                <w:b/>
                <w:sz w:val="16"/>
                <w:szCs w:val="16"/>
              </w:rPr>
              <w:t>LOCAL DE INSTALAÇÃO</w:t>
            </w:r>
          </w:p>
        </w:tc>
        <w:tc>
          <w:tcPr>
            <w:tcW w:w="1276" w:type="dxa"/>
            <w:tcBorders>
              <w:top w:val="single" w:color="000000" w:sz="4" w:space="0"/>
              <w:left w:val="nil"/>
              <w:bottom w:val="nil"/>
              <w:right w:val="single" w:color="000000" w:sz="4" w:space="0"/>
            </w:tcBorders>
            <w:shd w:val="clear" w:color="auto" w:fill="FFFFFF"/>
            <w:vAlign w:val="center"/>
          </w:tcPr>
          <w:p w14:paraId="71635C20">
            <w:pPr>
              <w:spacing w:line="240" w:lineRule="auto"/>
              <w:ind w:firstLine="321"/>
              <w:rPr>
                <w:b/>
                <w:sz w:val="16"/>
                <w:szCs w:val="16"/>
              </w:rPr>
            </w:pPr>
            <w:r>
              <w:rPr>
                <w:b/>
                <w:sz w:val="16"/>
                <w:szCs w:val="16"/>
              </w:rPr>
              <w:t>TIPO</w:t>
            </w:r>
          </w:p>
        </w:tc>
        <w:tc>
          <w:tcPr>
            <w:tcW w:w="1417" w:type="dxa"/>
            <w:tcBorders>
              <w:top w:val="single" w:color="000000" w:sz="4" w:space="0"/>
              <w:left w:val="nil"/>
              <w:bottom w:val="nil"/>
              <w:right w:val="single" w:color="000000" w:sz="4" w:space="0"/>
            </w:tcBorders>
            <w:shd w:val="clear" w:color="auto" w:fill="FFFFFF"/>
            <w:vAlign w:val="center"/>
          </w:tcPr>
          <w:p w14:paraId="0BD22C84">
            <w:pPr>
              <w:spacing w:line="240" w:lineRule="auto"/>
              <w:jc w:val="center"/>
              <w:rPr>
                <w:b/>
                <w:color w:val="000000"/>
                <w:sz w:val="16"/>
                <w:szCs w:val="16"/>
              </w:rPr>
            </w:pPr>
            <w:r>
              <w:rPr>
                <w:b/>
                <w:sz w:val="16"/>
                <w:szCs w:val="16"/>
              </w:rPr>
              <w:t>FAIXAS</w:t>
            </w:r>
          </w:p>
        </w:tc>
      </w:tr>
      <w:tr w14:paraId="789D649F">
        <w:tblPrEx>
          <w:tblCellMar>
            <w:top w:w="0" w:type="dxa"/>
            <w:left w:w="70" w:type="dxa"/>
            <w:bottom w:w="0" w:type="dxa"/>
            <w:right w:w="70" w:type="dxa"/>
          </w:tblCellMar>
        </w:tblPrEx>
        <w:trPr>
          <w:trHeight w:val="3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0BD70D7">
            <w:pPr>
              <w:spacing w:line="240" w:lineRule="auto"/>
              <w:jc w:val="center"/>
              <w:rPr>
                <w:b/>
                <w:color w:val="000000"/>
                <w:sz w:val="18"/>
                <w:szCs w:val="18"/>
              </w:rPr>
            </w:pP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E9EA41F">
            <w:pPr>
              <w:spacing w:line="240" w:lineRule="auto"/>
              <w:ind w:firstLine="1626"/>
              <w:rPr>
                <w:b/>
                <w:sz w:val="18"/>
                <w:szCs w:val="18"/>
              </w:rPr>
            </w:pPr>
            <w:r>
              <w:rPr>
                <w:b/>
                <w:sz w:val="18"/>
                <w:szCs w:val="18"/>
              </w:rPr>
              <w:t>AVANÇO DE SEMÁFORO</w:t>
            </w:r>
          </w:p>
        </w:tc>
        <w:tc>
          <w:tcPr>
            <w:tcW w:w="1276" w:type="dxa"/>
            <w:tcBorders>
              <w:top w:val="single" w:color="000000" w:sz="4" w:space="0"/>
              <w:left w:val="nil"/>
              <w:bottom w:val="single" w:color="000000" w:sz="4" w:space="0"/>
              <w:right w:val="single" w:color="000000" w:sz="4" w:space="0"/>
            </w:tcBorders>
            <w:shd w:val="clear" w:color="auto" w:fill="FFFFFF"/>
            <w:vAlign w:val="center"/>
          </w:tcPr>
          <w:p w14:paraId="370B260F">
            <w:pPr>
              <w:spacing w:line="240" w:lineRule="auto"/>
              <w:rPr>
                <w:b/>
                <w:color w:val="000000"/>
                <w:sz w:val="18"/>
                <w:szCs w:val="18"/>
              </w:rPr>
            </w:pP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41BFDD66">
            <w:pPr>
              <w:spacing w:line="240" w:lineRule="auto"/>
              <w:jc w:val="center"/>
              <w:rPr>
                <w:b/>
                <w:color w:val="000000"/>
                <w:sz w:val="16"/>
                <w:szCs w:val="16"/>
              </w:rPr>
            </w:pPr>
            <w:r>
              <w:rPr>
                <w:b/>
                <w:color w:val="000000"/>
                <w:sz w:val="18"/>
                <w:szCs w:val="18"/>
              </w:rPr>
              <w:t>48</w:t>
            </w:r>
          </w:p>
        </w:tc>
      </w:tr>
      <w:tr w14:paraId="3187FA4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92A2E68">
            <w:pPr>
              <w:spacing w:line="240" w:lineRule="auto"/>
              <w:jc w:val="center"/>
              <w:rPr>
                <w:b/>
                <w:color w:val="000000"/>
                <w:sz w:val="16"/>
                <w:szCs w:val="16"/>
              </w:rPr>
            </w:pPr>
            <w:r>
              <w:rPr>
                <w:bCs/>
                <w:color w:val="000000"/>
                <w:sz w:val="16"/>
                <w:szCs w:val="16"/>
              </w:rPr>
              <w:t>96</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7243355A">
            <w:pPr>
              <w:spacing w:line="240" w:lineRule="auto"/>
              <w:rPr>
                <w:b/>
                <w:color w:val="000000"/>
                <w:sz w:val="16"/>
                <w:szCs w:val="16"/>
              </w:rPr>
            </w:pPr>
            <w:r>
              <w:rPr>
                <w:bCs/>
                <w:sz w:val="16"/>
                <w:szCs w:val="16"/>
              </w:rPr>
              <w:t>R. BARÃO DO RIO BRANCO N 4761 C/B</w:t>
            </w:r>
          </w:p>
        </w:tc>
        <w:tc>
          <w:tcPr>
            <w:tcW w:w="1276" w:type="dxa"/>
            <w:tcBorders>
              <w:top w:val="nil"/>
              <w:left w:val="nil"/>
              <w:bottom w:val="single" w:color="000000" w:sz="4" w:space="0"/>
              <w:right w:val="single" w:color="000000" w:sz="4" w:space="0"/>
            </w:tcBorders>
            <w:shd w:val="clear" w:color="auto" w:fill="FFFFFF"/>
            <w:vAlign w:val="center"/>
          </w:tcPr>
          <w:p w14:paraId="1762BB47">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41B756C1">
            <w:pPr>
              <w:spacing w:line="240" w:lineRule="auto"/>
              <w:jc w:val="center"/>
              <w:rPr>
                <w:b/>
                <w:color w:val="000000"/>
                <w:sz w:val="16"/>
                <w:szCs w:val="16"/>
              </w:rPr>
            </w:pPr>
            <w:r>
              <w:rPr>
                <w:bCs/>
                <w:color w:val="000000"/>
                <w:sz w:val="16"/>
                <w:szCs w:val="16"/>
              </w:rPr>
              <w:t>2</w:t>
            </w:r>
          </w:p>
        </w:tc>
      </w:tr>
      <w:tr w14:paraId="437F16F7">
        <w:tblPrEx>
          <w:tblCellMar>
            <w:top w:w="0" w:type="dxa"/>
            <w:left w:w="70" w:type="dxa"/>
            <w:bottom w:w="0" w:type="dxa"/>
            <w:right w:w="70" w:type="dxa"/>
          </w:tblCellMar>
        </w:tblPrEx>
        <w:trPr>
          <w:trHeight w:val="822"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899A9FF">
            <w:pPr>
              <w:spacing w:line="240" w:lineRule="auto"/>
              <w:jc w:val="center"/>
              <w:rPr>
                <w:b/>
                <w:color w:val="000000"/>
                <w:sz w:val="16"/>
                <w:szCs w:val="16"/>
              </w:rPr>
            </w:pPr>
            <w:r>
              <w:rPr>
                <w:bCs/>
                <w:color w:val="000000"/>
                <w:sz w:val="16"/>
                <w:szCs w:val="16"/>
              </w:rPr>
              <w:t>97</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A1B6F8E">
            <w:pPr>
              <w:spacing w:line="240" w:lineRule="auto"/>
              <w:rPr>
                <w:b/>
                <w:color w:val="000000"/>
                <w:sz w:val="16"/>
                <w:szCs w:val="16"/>
              </w:rPr>
            </w:pPr>
            <w:r>
              <w:rPr>
                <w:bCs/>
                <w:sz w:val="16"/>
                <w:szCs w:val="16"/>
              </w:rPr>
              <w:t>R. BARÃO DO RIO BRANCO N 4761 B/C</w:t>
            </w:r>
          </w:p>
        </w:tc>
        <w:tc>
          <w:tcPr>
            <w:tcW w:w="1276" w:type="dxa"/>
            <w:tcBorders>
              <w:top w:val="nil"/>
              <w:left w:val="nil"/>
              <w:bottom w:val="single" w:color="000000" w:sz="4" w:space="0"/>
              <w:right w:val="single" w:color="000000" w:sz="4" w:space="0"/>
            </w:tcBorders>
            <w:shd w:val="clear" w:color="auto" w:fill="FFFFFF"/>
            <w:vAlign w:val="center"/>
          </w:tcPr>
          <w:p w14:paraId="19938536">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4B6A2E4D">
            <w:pPr>
              <w:spacing w:line="240" w:lineRule="auto"/>
              <w:jc w:val="center"/>
              <w:rPr>
                <w:b/>
                <w:color w:val="000000"/>
                <w:sz w:val="16"/>
                <w:szCs w:val="16"/>
              </w:rPr>
            </w:pPr>
            <w:r>
              <w:rPr>
                <w:bCs/>
                <w:color w:val="000000"/>
                <w:sz w:val="16"/>
                <w:szCs w:val="16"/>
              </w:rPr>
              <w:t>2</w:t>
            </w:r>
          </w:p>
        </w:tc>
      </w:tr>
      <w:tr w14:paraId="3B74162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DA0D725">
            <w:pPr>
              <w:spacing w:line="240" w:lineRule="auto"/>
              <w:jc w:val="center"/>
              <w:rPr>
                <w:b/>
                <w:color w:val="000000"/>
                <w:sz w:val="16"/>
                <w:szCs w:val="16"/>
              </w:rPr>
            </w:pPr>
            <w:r>
              <w:rPr>
                <w:bCs/>
                <w:color w:val="000000"/>
                <w:sz w:val="16"/>
                <w:szCs w:val="16"/>
              </w:rPr>
              <w:t>98</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1E6AA958">
            <w:pPr>
              <w:spacing w:line="240" w:lineRule="auto"/>
              <w:rPr>
                <w:b/>
                <w:color w:val="000000"/>
                <w:sz w:val="16"/>
                <w:szCs w:val="16"/>
              </w:rPr>
            </w:pPr>
            <w:r>
              <w:rPr>
                <w:bCs/>
                <w:sz w:val="16"/>
                <w:szCs w:val="16"/>
              </w:rPr>
              <w:t>AV. Dom Pedro II X AV. BINÁRIO NORTE</w:t>
            </w:r>
          </w:p>
        </w:tc>
        <w:tc>
          <w:tcPr>
            <w:tcW w:w="1276" w:type="dxa"/>
            <w:tcBorders>
              <w:top w:val="nil"/>
              <w:left w:val="nil"/>
              <w:bottom w:val="single" w:color="000000" w:sz="4" w:space="0"/>
              <w:right w:val="single" w:color="000000" w:sz="4" w:space="0"/>
            </w:tcBorders>
            <w:shd w:val="clear" w:color="auto" w:fill="FFFFFF"/>
            <w:vAlign w:val="center"/>
          </w:tcPr>
          <w:p w14:paraId="7CEF5507">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049DF95D">
            <w:pPr>
              <w:spacing w:line="240" w:lineRule="auto"/>
              <w:jc w:val="center"/>
              <w:rPr>
                <w:b/>
                <w:color w:val="000000"/>
                <w:sz w:val="16"/>
                <w:szCs w:val="16"/>
              </w:rPr>
            </w:pPr>
            <w:r>
              <w:rPr>
                <w:bCs/>
                <w:color w:val="000000"/>
                <w:sz w:val="16"/>
                <w:szCs w:val="16"/>
              </w:rPr>
              <w:t>3</w:t>
            </w:r>
          </w:p>
        </w:tc>
      </w:tr>
      <w:tr w14:paraId="2D48B78B">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auto" w:sz="4" w:space="0"/>
              <w:right w:val="single" w:color="000000" w:sz="4" w:space="0"/>
            </w:tcBorders>
            <w:shd w:val="clear" w:color="auto" w:fill="FFFFFF"/>
            <w:vAlign w:val="center"/>
          </w:tcPr>
          <w:p w14:paraId="6F8317A1">
            <w:pPr>
              <w:spacing w:line="240" w:lineRule="auto"/>
              <w:jc w:val="center"/>
              <w:rPr>
                <w:b/>
                <w:color w:val="000000"/>
                <w:sz w:val="16"/>
                <w:szCs w:val="16"/>
              </w:rPr>
            </w:pPr>
            <w:r>
              <w:rPr>
                <w:bCs/>
                <w:color w:val="000000"/>
                <w:sz w:val="16"/>
                <w:szCs w:val="16"/>
              </w:rPr>
              <w:t>99</w:t>
            </w:r>
          </w:p>
        </w:tc>
        <w:tc>
          <w:tcPr>
            <w:tcW w:w="5499" w:type="dxa"/>
            <w:tcBorders>
              <w:top w:val="single" w:color="000000" w:sz="4" w:space="0"/>
              <w:left w:val="nil"/>
              <w:bottom w:val="single" w:color="auto" w:sz="4" w:space="0"/>
              <w:right w:val="single" w:color="000000" w:sz="4" w:space="0"/>
            </w:tcBorders>
            <w:shd w:val="clear" w:color="auto" w:fill="FFFFFF"/>
            <w:vAlign w:val="center"/>
          </w:tcPr>
          <w:p w14:paraId="132E7B8B">
            <w:pPr>
              <w:spacing w:line="240" w:lineRule="auto"/>
              <w:rPr>
                <w:b/>
                <w:color w:val="000000"/>
                <w:sz w:val="16"/>
                <w:szCs w:val="16"/>
              </w:rPr>
            </w:pPr>
            <w:r>
              <w:rPr>
                <w:bCs/>
                <w:sz w:val="16"/>
                <w:szCs w:val="16"/>
              </w:rPr>
              <w:t>ENTRADA- FERNANDO CORREIA DA COSTA</w:t>
            </w:r>
          </w:p>
        </w:tc>
        <w:tc>
          <w:tcPr>
            <w:tcW w:w="1276" w:type="dxa"/>
            <w:tcBorders>
              <w:top w:val="nil"/>
              <w:left w:val="nil"/>
              <w:bottom w:val="single" w:color="auto" w:sz="4" w:space="0"/>
              <w:right w:val="single" w:color="000000" w:sz="4" w:space="0"/>
            </w:tcBorders>
            <w:shd w:val="clear" w:color="auto" w:fill="FFFFFF"/>
            <w:vAlign w:val="center"/>
          </w:tcPr>
          <w:p w14:paraId="7946474E">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auto" w:sz="4" w:space="0"/>
              <w:right w:val="single" w:color="000000" w:sz="4" w:space="0"/>
            </w:tcBorders>
            <w:shd w:val="clear" w:color="auto" w:fill="FFFFFF"/>
            <w:vAlign w:val="center"/>
          </w:tcPr>
          <w:p w14:paraId="182A63F0">
            <w:pPr>
              <w:spacing w:line="240" w:lineRule="auto"/>
              <w:jc w:val="center"/>
              <w:rPr>
                <w:b/>
                <w:color w:val="000000"/>
                <w:sz w:val="16"/>
                <w:szCs w:val="16"/>
              </w:rPr>
            </w:pPr>
            <w:r>
              <w:rPr>
                <w:bCs/>
                <w:color w:val="000000"/>
                <w:sz w:val="16"/>
                <w:szCs w:val="16"/>
              </w:rPr>
              <w:t>3</w:t>
            </w:r>
          </w:p>
        </w:tc>
      </w:tr>
      <w:tr w14:paraId="4082C825">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59B622AA">
            <w:pPr>
              <w:spacing w:line="240" w:lineRule="auto"/>
              <w:jc w:val="center"/>
              <w:rPr>
                <w:b/>
                <w:color w:val="000000"/>
                <w:sz w:val="16"/>
                <w:szCs w:val="16"/>
              </w:rPr>
            </w:pPr>
            <w:r>
              <w:rPr>
                <w:bCs/>
                <w:color w:val="000000"/>
                <w:sz w:val="16"/>
                <w:szCs w:val="16"/>
              </w:rPr>
              <w:t>100</w:t>
            </w:r>
          </w:p>
        </w:tc>
        <w:tc>
          <w:tcPr>
            <w:tcW w:w="5499" w:type="dxa"/>
            <w:tcBorders>
              <w:top w:val="single" w:color="auto" w:sz="4" w:space="0"/>
              <w:left w:val="single" w:color="auto" w:sz="4" w:space="0"/>
              <w:bottom w:val="single" w:color="auto" w:sz="4" w:space="0"/>
              <w:right w:val="single" w:color="auto" w:sz="4" w:space="0"/>
            </w:tcBorders>
            <w:shd w:val="clear" w:color="auto" w:fill="FFFFFF"/>
            <w:vAlign w:val="center"/>
          </w:tcPr>
          <w:p w14:paraId="3B5CC56D">
            <w:pPr>
              <w:spacing w:line="240" w:lineRule="auto"/>
              <w:rPr>
                <w:b/>
                <w:color w:val="000000"/>
                <w:sz w:val="16"/>
                <w:szCs w:val="16"/>
              </w:rPr>
            </w:pPr>
            <w:r>
              <w:rPr>
                <w:bCs/>
                <w:sz w:val="16"/>
                <w:szCs w:val="16"/>
              </w:rPr>
              <w:t>AV. Lions Internacional X AV. DOS ESTUDANTES</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14:paraId="710EAF20">
            <w:pPr>
              <w:spacing w:line="240" w:lineRule="auto"/>
              <w:jc w:val="center"/>
              <w:rPr>
                <w:b/>
                <w:sz w:val="16"/>
                <w:szCs w:val="16"/>
              </w:rPr>
            </w:pPr>
            <w:r>
              <w:rPr>
                <w:bCs/>
                <w:sz w:val="16"/>
                <w:szCs w:val="16"/>
              </w:rPr>
              <w:t>ZONA MÁXIMA DE RESTRIÇÃO</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14:paraId="5B61583B">
            <w:pPr>
              <w:spacing w:line="240" w:lineRule="auto"/>
              <w:jc w:val="center"/>
              <w:rPr>
                <w:b/>
                <w:color w:val="000000"/>
                <w:sz w:val="16"/>
                <w:szCs w:val="16"/>
              </w:rPr>
            </w:pPr>
            <w:r>
              <w:rPr>
                <w:bCs/>
                <w:color w:val="000000"/>
                <w:sz w:val="16"/>
                <w:szCs w:val="16"/>
              </w:rPr>
              <w:t>2</w:t>
            </w:r>
          </w:p>
        </w:tc>
      </w:tr>
      <w:tr w14:paraId="51102A27">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7444FED1">
            <w:pPr>
              <w:spacing w:line="240" w:lineRule="auto"/>
              <w:jc w:val="center"/>
              <w:rPr>
                <w:b/>
                <w:color w:val="000000"/>
                <w:sz w:val="16"/>
                <w:szCs w:val="16"/>
              </w:rPr>
            </w:pPr>
            <w:r>
              <w:rPr>
                <w:bCs/>
                <w:color w:val="000000"/>
                <w:sz w:val="16"/>
                <w:szCs w:val="16"/>
              </w:rPr>
              <w:t>101</w:t>
            </w:r>
          </w:p>
        </w:tc>
        <w:tc>
          <w:tcPr>
            <w:tcW w:w="5499" w:type="dxa"/>
            <w:tcBorders>
              <w:top w:val="single" w:color="auto" w:sz="4" w:space="0"/>
              <w:left w:val="nil"/>
              <w:bottom w:val="single" w:color="000000" w:sz="4" w:space="0"/>
              <w:right w:val="single" w:color="000000" w:sz="4" w:space="0"/>
            </w:tcBorders>
            <w:shd w:val="clear" w:color="auto" w:fill="FFFFFF"/>
            <w:vAlign w:val="center"/>
          </w:tcPr>
          <w:p w14:paraId="15F08DCA">
            <w:pPr>
              <w:spacing w:line="240" w:lineRule="auto"/>
              <w:rPr>
                <w:b/>
                <w:color w:val="000000"/>
                <w:sz w:val="16"/>
                <w:szCs w:val="16"/>
              </w:rPr>
            </w:pPr>
            <w:r>
              <w:rPr>
                <w:bCs/>
                <w:sz w:val="16"/>
                <w:szCs w:val="16"/>
              </w:rPr>
              <w:t>AV. Lions Internacional X AV. PERIMETRAL</w:t>
            </w:r>
          </w:p>
        </w:tc>
        <w:tc>
          <w:tcPr>
            <w:tcW w:w="1276" w:type="dxa"/>
            <w:tcBorders>
              <w:top w:val="single" w:color="auto" w:sz="4" w:space="0"/>
              <w:left w:val="nil"/>
              <w:bottom w:val="single" w:color="000000" w:sz="4" w:space="0"/>
              <w:right w:val="single" w:color="000000" w:sz="4" w:space="0"/>
            </w:tcBorders>
            <w:shd w:val="clear" w:color="auto" w:fill="FFFFFF"/>
            <w:vAlign w:val="center"/>
          </w:tcPr>
          <w:p w14:paraId="487C4D95">
            <w:pPr>
              <w:spacing w:line="240" w:lineRule="auto"/>
              <w:jc w:val="center"/>
              <w:rPr>
                <w:b/>
                <w:sz w:val="16"/>
                <w:szCs w:val="16"/>
              </w:rPr>
            </w:pPr>
            <w:r>
              <w:rPr>
                <w:bCs/>
                <w:sz w:val="16"/>
                <w:szCs w:val="16"/>
              </w:rPr>
              <w:t>ZONA MÁXIMA DE RESTRIÇÃO</w:t>
            </w:r>
          </w:p>
        </w:tc>
        <w:tc>
          <w:tcPr>
            <w:tcW w:w="1417" w:type="dxa"/>
            <w:tcBorders>
              <w:top w:val="single" w:color="auto" w:sz="4" w:space="0"/>
              <w:left w:val="nil"/>
              <w:bottom w:val="single" w:color="000000" w:sz="4" w:space="0"/>
              <w:right w:val="single" w:color="000000" w:sz="4" w:space="0"/>
            </w:tcBorders>
            <w:shd w:val="clear" w:color="auto" w:fill="FFFFFF"/>
            <w:vAlign w:val="center"/>
          </w:tcPr>
          <w:p w14:paraId="63B926BE">
            <w:pPr>
              <w:spacing w:line="240" w:lineRule="auto"/>
              <w:jc w:val="center"/>
              <w:rPr>
                <w:b/>
                <w:color w:val="000000"/>
                <w:sz w:val="16"/>
                <w:szCs w:val="16"/>
              </w:rPr>
            </w:pPr>
            <w:r>
              <w:rPr>
                <w:bCs/>
                <w:color w:val="000000"/>
                <w:sz w:val="16"/>
                <w:szCs w:val="16"/>
              </w:rPr>
              <w:t>2</w:t>
            </w:r>
          </w:p>
        </w:tc>
      </w:tr>
      <w:tr w14:paraId="34717FE5">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42DFFEB">
            <w:pPr>
              <w:spacing w:line="240" w:lineRule="auto"/>
              <w:jc w:val="center"/>
              <w:rPr>
                <w:b/>
                <w:color w:val="000000"/>
                <w:sz w:val="16"/>
                <w:szCs w:val="16"/>
              </w:rPr>
            </w:pPr>
            <w:r>
              <w:rPr>
                <w:bCs/>
                <w:color w:val="000000"/>
                <w:sz w:val="16"/>
                <w:szCs w:val="16"/>
              </w:rPr>
              <w:t>102</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23BFCDD6">
            <w:pPr>
              <w:spacing w:line="240" w:lineRule="auto"/>
              <w:rPr>
                <w:b/>
                <w:sz w:val="16"/>
                <w:szCs w:val="16"/>
              </w:rPr>
            </w:pPr>
            <w:r>
              <w:rPr>
                <w:bCs/>
                <w:sz w:val="16"/>
                <w:szCs w:val="16"/>
              </w:rPr>
              <w:t>AV. MARECHAL RONDON - PONTE</w:t>
            </w:r>
          </w:p>
        </w:tc>
        <w:tc>
          <w:tcPr>
            <w:tcW w:w="1276" w:type="dxa"/>
            <w:tcBorders>
              <w:top w:val="nil"/>
              <w:left w:val="nil"/>
              <w:bottom w:val="single" w:color="000000" w:sz="4" w:space="0"/>
              <w:right w:val="single" w:color="000000" w:sz="4" w:space="0"/>
            </w:tcBorders>
            <w:shd w:val="clear" w:color="auto" w:fill="FFFFFF"/>
            <w:vAlign w:val="center"/>
          </w:tcPr>
          <w:p w14:paraId="10486123">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43C33FC0">
            <w:pPr>
              <w:spacing w:line="240" w:lineRule="auto"/>
              <w:jc w:val="center"/>
              <w:rPr>
                <w:b/>
                <w:color w:val="000000"/>
                <w:sz w:val="16"/>
                <w:szCs w:val="16"/>
              </w:rPr>
            </w:pPr>
            <w:r>
              <w:rPr>
                <w:bCs/>
                <w:color w:val="000000"/>
                <w:sz w:val="16"/>
                <w:szCs w:val="16"/>
              </w:rPr>
              <w:t>2</w:t>
            </w:r>
          </w:p>
        </w:tc>
      </w:tr>
      <w:tr w14:paraId="3352925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1443130">
            <w:pPr>
              <w:spacing w:line="240" w:lineRule="auto"/>
              <w:jc w:val="center"/>
              <w:rPr>
                <w:b/>
                <w:color w:val="000000"/>
                <w:sz w:val="16"/>
                <w:szCs w:val="16"/>
              </w:rPr>
            </w:pPr>
            <w:r>
              <w:rPr>
                <w:bCs/>
                <w:color w:val="000000"/>
                <w:sz w:val="16"/>
                <w:szCs w:val="16"/>
              </w:rPr>
              <w:t>103</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301FAC5F">
            <w:pPr>
              <w:spacing w:line="240" w:lineRule="auto"/>
              <w:rPr>
                <w:b/>
                <w:sz w:val="16"/>
                <w:szCs w:val="16"/>
              </w:rPr>
            </w:pPr>
            <w:r>
              <w:rPr>
                <w:bCs/>
                <w:sz w:val="16"/>
                <w:szCs w:val="16"/>
              </w:rPr>
              <w:t>AV. PRES. MÉDICI X R. MATO GROSSO</w:t>
            </w:r>
          </w:p>
        </w:tc>
        <w:tc>
          <w:tcPr>
            <w:tcW w:w="1276" w:type="dxa"/>
            <w:tcBorders>
              <w:top w:val="nil"/>
              <w:left w:val="nil"/>
              <w:bottom w:val="single" w:color="000000" w:sz="4" w:space="0"/>
              <w:right w:val="single" w:color="000000" w:sz="4" w:space="0"/>
            </w:tcBorders>
            <w:shd w:val="clear" w:color="auto" w:fill="FFFFFF"/>
            <w:vAlign w:val="center"/>
          </w:tcPr>
          <w:p w14:paraId="4A247940">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744C6F31">
            <w:pPr>
              <w:spacing w:line="240" w:lineRule="auto"/>
              <w:jc w:val="center"/>
              <w:rPr>
                <w:b/>
                <w:color w:val="000000"/>
                <w:sz w:val="16"/>
                <w:szCs w:val="16"/>
              </w:rPr>
            </w:pPr>
            <w:r>
              <w:rPr>
                <w:bCs/>
                <w:color w:val="000000"/>
                <w:sz w:val="16"/>
                <w:szCs w:val="16"/>
              </w:rPr>
              <w:t>3</w:t>
            </w:r>
          </w:p>
        </w:tc>
      </w:tr>
      <w:tr w14:paraId="176ECFC4">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auto" w:sz="4" w:space="0"/>
              <w:right w:val="single" w:color="000000" w:sz="4" w:space="0"/>
            </w:tcBorders>
            <w:shd w:val="clear" w:color="auto" w:fill="FFFFFF"/>
            <w:vAlign w:val="center"/>
          </w:tcPr>
          <w:p w14:paraId="01C561BD">
            <w:pPr>
              <w:spacing w:line="240" w:lineRule="auto"/>
              <w:jc w:val="center"/>
              <w:rPr>
                <w:b/>
                <w:color w:val="000000"/>
                <w:sz w:val="16"/>
                <w:szCs w:val="16"/>
              </w:rPr>
            </w:pPr>
            <w:r>
              <w:rPr>
                <w:bCs/>
                <w:color w:val="000000"/>
                <w:sz w:val="16"/>
                <w:szCs w:val="16"/>
              </w:rPr>
              <w:t>104</w:t>
            </w:r>
          </w:p>
        </w:tc>
        <w:tc>
          <w:tcPr>
            <w:tcW w:w="5499" w:type="dxa"/>
            <w:tcBorders>
              <w:top w:val="single" w:color="000000" w:sz="4" w:space="0"/>
              <w:left w:val="nil"/>
              <w:bottom w:val="single" w:color="auto" w:sz="4" w:space="0"/>
              <w:right w:val="single" w:color="000000" w:sz="4" w:space="0"/>
            </w:tcBorders>
            <w:shd w:val="clear" w:color="auto" w:fill="FFFFFF"/>
            <w:vAlign w:val="center"/>
          </w:tcPr>
          <w:p w14:paraId="0C433760">
            <w:pPr>
              <w:spacing w:line="240" w:lineRule="auto"/>
              <w:rPr>
                <w:b/>
                <w:color w:val="000000"/>
                <w:sz w:val="16"/>
                <w:szCs w:val="16"/>
              </w:rPr>
            </w:pPr>
            <w:r>
              <w:rPr>
                <w:bCs/>
                <w:sz w:val="16"/>
                <w:szCs w:val="16"/>
              </w:rPr>
              <w:t>AV. PRES. MÉDICI X R. JOÃO PESSOA</w:t>
            </w:r>
          </w:p>
        </w:tc>
        <w:tc>
          <w:tcPr>
            <w:tcW w:w="1276" w:type="dxa"/>
            <w:tcBorders>
              <w:top w:val="nil"/>
              <w:left w:val="nil"/>
              <w:bottom w:val="single" w:color="auto" w:sz="4" w:space="0"/>
              <w:right w:val="single" w:color="000000" w:sz="4" w:space="0"/>
            </w:tcBorders>
            <w:shd w:val="clear" w:color="auto" w:fill="FFFFFF"/>
            <w:vAlign w:val="center"/>
          </w:tcPr>
          <w:p w14:paraId="09B01BB2">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auto" w:sz="4" w:space="0"/>
              <w:right w:val="single" w:color="000000" w:sz="4" w:space="0"/>
            </w:tcBorders>
            <w:shd w:val="clear" w:color="auto" w:fill="FFFFFF"/>
            <w:vAlign w:val="center"/>
          </w:tcPr>
          <w:p w14:paraId="44234084">
            <w:pPr>
              <w:spacing w:line="240" w:lineRule="auto"/>
              <w:jc w:val="center"/>
              <w:rPr>
                <w:b/>
                <w:color w:val="000000"/>
                <w:sz w:val="16"/>
                <w:szCs w:val="16"/>
              </w:rPr>
            </w:pPr>
            <w:r>
              <w:rPr>
                <w:bCs/>
                <w:color w:val="000000"/>
                <w:sz w:val="16"/>
                <w:szCs w:val="16"/>
              </w:rPr>
              <w:t>3</w:t>
            </w:r>
          </w:p>
        </w:tc>
      </w:tr>
      <w:tr w14:paraId="33838993">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11254D8D">
            <w:pPr>
              <w:spacing w:line="240" w:lineRule="auto"/>
              <w:jc w:val="center"/>
              <w:rPr>
                <w:b/>
                <w:color w:val="000000"/>
                <w:sz w:val="16"/>
                <w:szCs w:val="16"/>
              </w:rPr>
            </w:pPr>
            <w:r>
              <w:rPr>
                <w:bCs/>
                <w:color w:val="000000"/>
                <w:sz w:val="16"/>
                <w:szCs w:val="16"/>
              </w:rPr>
              <w:t>105</w:t>
            </w:r>
          </w:p>
        </w:tc>
        <w:tc>
          <w:tcPr>
            <w:tcW w:w="5499" w:type="dxa"/>
            <w:tcBorders>
              <w:top w:val="single" w:color="auto" w:sz="4" w:space="0"/>
              <w:left w:val="single" w:color="auto" w:sz="4" w:space="0"/>
              <w:bottom w:val="single" w:color="auto" w:sz="4" w:space="0"/>
              <w:right w:val="single" w:color="auto" w:sz="4" w:space="0"/>
            </w:tcBorders>
            <w:shd w:val="clear" w:color="auto" w:fill="FFFFFF"/>
            <w:vAlign w:val="center"/>
          </w:tcPr>
          <w:p w14:paraId="5F1CC84D">
            <w:pPr>
              <w:spacing w:line="240" w:lineRule="auto"/>
              <w:rPr>
                <w:b/>
                <w:color w:val="000000"/>
                <w:sz w:val="16"/>
                <w:szCs w:val="16"/>
              </w:rPr>
            </w:pPr>
            <w:r>
              <w:rPr>
                <w:bCs/>
                <w:sz w:val="16"/>
                <w:szCs w:val="16"/>
              </w:rPr>
              <w:t>AV. PAULISTA X AV. GUARAPUAVA</w:t>
            </w:r>
          </w:p>
        </w:tc>
        <w:tc>
          <w:tcPr>
            <w:tcW w:w="1276" w:type="dxa"/>
            <w:tcBorders>
              <w:top w:val="single" w:color="auto" w:sz="4" w:space="0"/>
              <w:left w:val="single" w:color="auto" w:sz="4" w:space="0"/>
              <w:bottom w:val="single" w:color="auto" w:sz="4" w:space="0"/>
              <w:right w:val="single" w:color="auto" w:sz="4" w:space="0"/>
            </w:tcBorders>
            <w:shd w:val="clear" w:color="auto" w:fill="FFFFFF"/>
            <w:vAlign w:val="center"/>
          </w:tcPr>
          <w:p w14:paraId="6E3D2702">
            <w:pPr>
              <w:spacing w:line="240" w:lineRule="auto"/>
              <w:jc w:val="center"/>
              <w:rPr>
                <w:b/>
                <w:sz w:val="16"/>
                <w:szCs w:val="16"/>
              </w:rPr>
            </w:pPr>
            <w:r>
              <w:rPr>
                <w:bCs/>
                <w:sz w:val="16"/>
                <w:szCs w:val="16"/>
              </w:rPr>
              <w:t>ZONA MÁXIMA DE RESTRIÇÃO</w:t>
            </w:r>
          </w:p>
        </w:tc>
        <w:tc>
          <w:tcPr>
            <w:tcW w:w="1417" w:type="dxa"/>
            <w:tcBorders>
              <w:top w:val="single" w:color="auto" w:sz="4" w:space="0"/>
              <w:left w:val="single" w:color="auto" w:sz="4" w:space="0"/>
              <w:bottom w:val="single" w:color="auto" w:sz="4" w:space="0"/>
              <w:right w:val="single" w:color="auto" w:sz="4" w:space="0"/>
            </w:tcBorders>
            <w:shd w:val="clear" w:color="auto" w:fill="FFFFFF"/>
            <w:vAlign w:val="center"/>
          </w:tcPr>
          <w:p w14:paraId="3B0E6D4A">
            <w:pPr>
              <w:spacing w:line="240" w:lineRule="auto"/>
              <w:jc w:val="center"/>
              <w:rPr>
                <w:b/>
                <w:color w:val="000000"/>
                <w:sz w:val="16"/>
                <w:szCs w:val="16"/>
              </w:rPr>
            </w:pPr>
            <w:r>
              <w:rPr>
                <w:bCs/>
                <w:color w:val="000000"/>
                <w:sz w:val="16"/>
                <w:szCs w:val="16"/>
              </w:rPr>
              <w:t>3</w:t>
            </w:r>
          </w:p>
        </w:tc>
      </w:tr>
      <w:tr w14:paraId="2B37CB76">
        <w:tblPrEx>
          <w:tblCellMar>
            <w:top w:w="0" w:type="dxa"/>
            <w:left w:w="70" w:type="dxa"/>
            <w:bottom w:w="0" w:type="dxa"/>
            <w:right w:w="70" w:type="dxa"/>
          </w:tblCellMar>
        </w:tblPrEx>
        <w:trPr>
          <w:trHeight w:val="660" w:hRule="atLeast"/>
        </w:trPr>
        <w:tc>
          <w:tcPr>
            <w:tcW w:w="1017"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58419023">
            <w:pPr>
              <w:spacing w:line="240" w:lineRule="auto"/>
              <w:jc w:val="center"/>
              <w:rPr>
                <w:b/>
                <w:color w:val="000000"/>
                <w:sz w:val="16"/>
                <w:szCs w:val="16"/>
              </w:rPr>
            </w:pPr>
            <w:r>
              <w:rPr>
                <w:bCs/>
                <w:color w:val="000000"/>
                <w:sz w:val="16"/>
                <w:szCs w:val="16"/>
              </w:rPr>
              <w:t>106</w:t>
            </w:r>
          </w:p>
        </w:tc>
        <w:tc>
          <w:tcPr>
            <w:tcW w:w="5499" w:type="dxa"/>
            <w:tcBorders>
              <w:top w:val="single" w:color="auto" w:sz="4" w:space="0"/>
              <w:left w:val="nil"/>
              <w:bottom w:val="single" w:color="000000" w:sz="4" w:space="0"/>
              <w:right w:val="single" w:color="000000" w:sz="4" w:space="0"/>
            </w:tcBorders>
            <w:shd w:val="clear" w:color="auto" w:fill="FFFFFF"/>
            <w:vAlign w:val="center"/>
          </w:tcPr>
          <w:p w14:paraId="66437058">
            <w:pPr>
              <w:spacing w:line="240" w:lineRule="auto"/>
              <w:rPr>
                <w:b/>
                <w:color w:val="000000"/>
                <w:sz w:val="16"/>
                <w:szCs w:val="16"/>
              </w:rPr>
            </w:pPr>
            <w:r>
              <w:rPr>
                <w:bCs/>
                <w:sz w:val="16"/>
                <w:szCs w:val="16"/>
              </w:rPr>
              <w:t>AV. DAS ANDORINHAS X R. A-11</w:t>
            </w:r>
          </w:p>
        </w:tc>
        <w:tc>
          <w:tcPr>
            <w:tcW w:w="1276" w:type="dxa"/>
            <w:tcBorders>
              <w:top w:val="single" w:color="auto" w:sz="4" w:space="0"/>
              <w:left w:val="nil"/>
              <w:bottom w:val="single" w:color="000000" w:sz="4" w:space="0"/>
              <w:right w:val="single" w:color="000000" w:sz="4" w:space="0"/>
            </w:tcBorders>
            <w:shd w:val="clear" w:color="auto" w:fill="FFFFFF"/>
            <w:vAlign w:val="center"/>
          </w:tcPr>
          <w:p w14:paraId="4439D3CF">
            <w:pPr>
              <w:spacing w:line="240" w:lineRule="auto"/>
              <w:jc w:val="center"/>
              <w:rPr>
                <w:b/>
                <w:sz w:val="16"/>
                <w:szCs w:val="16"/>
              </w:rPr>
            </w:pPr>
            <w:r>
              <w:rPr>
                <w:bCs/>
                <w:sz w:val="16"/>
                <w:szCs w:val="16"/>
              </w:rPr>
              <w:t>ZONA MÁXIMA DE RESTRIÇÃO</w:t>
            </w:r>
          </w:p>
        </w:tc>
        <w:tc>
          <w:tcPr>
            <w:tcW w:w="1417" w:type="dxa"/>
            <w:tcBorders>
              <w:top w:val="single" w:color="auto" w:sz="4" w:space="0"/>
              <w:left w:val="nil"/>
              <w:bottom w:val="single" w:color="000000" w:sz="4" w:space="0"/>
              <w:right w:val="single" w:color="000000" w:sz="4" w:space="0"/>
            </w:tcBorders>
            <w:shd w:val="clear" w:color="auto" w:fill="FFFFFF"/>
            <w:vAlign w:val="center"/>
          </w:tcPr>
          <w:p w14:paraId="797F7EFE">
            <w:pPr>
              <w:spacing w:line="240" w:lineRule="auto"/>
              <w:jc w:val="center"/>
              <w:rPr>
                <w:b/>
                <w:color w:val="000000"/>
                <w:sz w:val="16"/>
                <w:szCs w:val="16"/>
              </w:rPr>
            </w:pPr>
            <w:r>
              <w:rPr>
                <w:bCs/>
                <w:color w:val="000000"/>
                <w:sz w:val="16"/>
                <w:szCs w:val="16"/>
              </w:rPr>
              <w:t>2</w:t>
            </w:r>
          </w:p>
        </w:tc>
      </w:tr>
      <w:tr w14:paraId="0FC2B0B5">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16854B02">
            <w:pPr>
              <w:spacing w:line="240" w:lineRule="auto"/>
              <w:jc w:val="center"/>
              <w:rPr>
                <w:b/>
                <w:color w:val="000000"/>
                <w:sz w:val="16"/>
                <w:szCs w:val="16"/>
              </w:rPr>
            </w:pPr>
            <w:r>
              <w:rPr>
                <w:bCs/>
                <w:color w:val="000000"/>
                <w:sz w:val="16"/>
                <w:szCs w:val="16"/>
              </w:rPr>
              <w:t>105</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129B36BD">
            <w:pPr>
              <w:spacing w:line="240" w:lineRule="auto"/>
              <w:rPr>
                <w:b/>
                <w:color w:val="000000"/>
                <w:sz w:val="16"/>
                <w:szCs w:val="16"/>
              </w:rPr>
            </w:pPr>
            <w:r>
              <w:rPr>
                <w:bCs/>
                <w:sz w:val="16"/>
                <w:szCs w:val="16"/>
              </w:rPr>
              <w:t>AV. WALID JUMBLATE X R. SIRIRI</w:t>
            </w:r>
          </w:p>
        </w:tc>
        <w:tc>
          <w:tcPr>
            <w:tcW w:w="1276" w:type="dxa"/>
            <w:tcBorders>
              <w:top w:val="nil"/>
              <w:left w:val="nil"/>
              <w:bottom w:val="single" w:color="000000" w:sz="4" w:space="0"/>
              <w:right w:val="single" w:color="000000" w:sz="4" w:space="0"/>
            </w:tcBorders>
            <w:shd w:val="clear" w:color="auto" w:fill="FFFFFF"/>
            <w:vAlign w:val="center"/>
          </w:tcPr>
          <w:p w14:paraId="678FAE2D">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0E19D30F">
            <w:pPr>
              <w:spacing w:line="240" w:lineRule="auto"/>
              <w:jc w:val="center"/>
              <w:rPr>
                <w:b/>
                <w:color w:val="000000"/>
                <w:sz w:val="16"/>
                <w:szCs w:val="16"/>
              </w:rPr>
            </w:pPr>
            <w:r>
              <w:rPr>
                <w:bCs/>
                <w:color w:val="000000"/>
                <w:sz w:val="16"/>
                <w:szCs w:val="16"/>
              </w:rPr>
              <w:t>2</w:t>
            </w:r>
          </w:p>
        </w:tc>
      </w:tr>
      <w:tr w14:paraId="2313F4F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B01C374">
            <w:pPr>
              <w:spacing w:line="240" w:lineRule="auto"/>
              <w:jc w:val="center"/>
              <w:rPr>
                <w:b/>
                <w:color w:val="000000"/>
                <w:sz w:val="16"/>
                <w:szCs w:val="16"/>
              </w:rPr>
            </w:pPr>
            <w:r>
              <w:rPr>
                <w:bCs/>
                <w:color w:val="000000"/>
                <w:sz w:val="16"/>
                <w:szCs w:val="16"/>
              </w:rPr>
              <w:t>107</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DB41FB8">
            <w:pPr>
              <w:spacing w:line="240" w:lineRule="auto"/>
              <w:rPr>
                <w:b/>
                <w:color w:val="000000"/>
                <w:sz w:val="16"/>
                <w:szCs w:val="16"/>
              </w:rPr>
            </w:pPr>
            <w:r>
              <w:rPr>
                <w:bCs/>
                <w:sz w:val="16"/>
                <w:szCs w:val="16"/>
              </w:rPr>
              <w:t>AV. PADIM X AV. DO BOSQUE</w:t>
            </w:r>
          </w:p>
        </w:tc>
        <w:tc>
          <w:tcPr>
            <w:tcW w:w="1276" w:type="dxa"/>
            <w:tcBorders>
              <w:top w:val="nil"/>
              <w:left w:val="nil"/>
              <w:bottom w:val="single" w:color="000000" w:sz="4" w:space="0"/>
              <w:right w:val="single" w:color="000000" w:sz="4" w:space="0"/>
            </w:tcBorders>
            <w:shd w:val="clear" w:color="auto" w:fill="FFFFFF"/>
            <w:vAlign w:val="center"/>
          </w:tcPr>
          <w:p w14:paraId="1231A2E0">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1542145D">
            <w:pPr>
              <w:spacing w:line="240" w:lineRule="auto"/>
              <w:jc w:val="center"/>
              <w:rPr>
                <w:b/>
                <w:color w:val="000000"/>
                <w:sz w:val="16"/>
                <w:szCs w:val="16"/>
              </w:rPr>
            </w:pPr>
            <w:r>
              <w:rPr>
                <w:bCs/>
                <w:color w:val="000000"/>
                <w:sz w:val="16"/>
                <w:szCs w:val="16"/>
              </w:rPr>
              <w:t>3</w:t>
            </w:r>
          </w:p>
        </w:tc>
      </w:tr>
      <w:tr w14:paraId="684215E9">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FA9CF58">
            <w:pPr>
              <w:spacing w:line="240" w:lineRule="auto"/>
              <w:jc w:val="center"/>
              <w:rPr>
                <w:b/>
                <w:color w:val="000000"/>
                <w:sz w:val="16"/>
                <w:szCs w:val="16"/>
              </w:rPr>
            </w:pPr>
            <w:r>
              <w:rPr>
                <w:bCs/>
                <w:color w:val="000000"/>
                <w:sz w:val="16"/>
                <w:szCs w:val="16"/>
              </w:rPr>
              <w:t>108</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40844979">
            <w:pPr>
              <w:spacing w:line="240" w:lineRule="auto"/>
              <w:rPr>
                <w:b/>
                <w:color w:val="000000"/>
                <w:sz w:val="16"/>
                <w:szCs w:val="16"/>
              </w:rPr>
            </w:pPr>
            <w:r>
              <w:rPr>
                <w:bCs/>
                <w:sz w:val="16"/>
                <w:szCs w:val="16"/>
              </w:rPr>
              <w:t>R. JURU X AV. ARACÊ</w:t>
            </w:r>
          </w:p>
        </w:tc>
        <w:tc>
          <w:tcPr>
            <w:tcW w:w="1276" w:type="dxa"/>
            <w:tcBorders>
              <w:top w:val="nil"/>
              <w:left w:val="nil"/>
              <w:bottom w:val="single" w:color="000000" w:sz="4" w:space="0"/>
              <w:right w:val="single" w:color="000000" w:sz="4" w:space="0"/>
            </w:tcBorders>
            <w:shd w:val="clear" w:color="auto" w:fill="FFFFFF"/>
            <w:vAlign w:val="center"/>
          </w:tcPr>
          <w:p w14:paraId="2E036D04">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547A05EC">
            <w:pPr>
              <w:spacing w:line="240" w:lineRule="auto"/>
              <w:jc w:val="center"/>
              <w:rPr>
                <w:b/>
                <w:color w:val="000000"/>
                <w:sz w:val="16"/>
                <w:szCs w:val="16"/>
              </w:rPr>
            </w:pPr>
            <w:r>
              <w:rPr>
                <w:bCs/>
                <w:color w:val="000000"/>
                <w:sz w:val="16"/>
                <w:szCs w:val="16"/>
              </w:rPr>
              <w:t>2</w:t>
            </w:r>
          </w:p>
        </w:tc>
      </w:tr>
      <w:tr w14:paraId="5ECE5E70">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A4F6A0E">
            <w:pPr>
              <w:spacing w:line="240" w:lineRule="auto"/>
              <w:jc w:val="center"/>
              <w:rPr>
                <w:b/>
                <w:color w:val="000000"/>
                <w:sz w:val="16"/>
                <w:szCs w:val="16"/>
              </w:rPr>
            </w:pPr>
            <w:r>
              <w:rPr>
                <w:bCs/>
                <w:color w:val="000000"/>
                <w:sz w:val="16"/>
                <w:szCs w:val="16"/>
              </w:rPr>
              <w:t>109</w:t>
            </w:r>
          </w:p>
        </w:tc>
        <w:tc>
          <w:tcPr>
            <w:tcW w:w="5499" w:type="dxa"/>
            <w:tcBorders>
              <w:top w:val="single" w:color="000000" w:sz="4" w:space="0"/>
              <w:left w:val="nil"/>
              <w:bottom w:val="single" w:color="000000" w:sz="4" w:space="0"/>
              <w:right w:val="single" w:color="000000" w:sz="4" w:space="0"/>
            </w:tcBorders>
            <w:shd w:val="clear" w:color="auto" w:fill="FFFFFF"/>
            <w:vAlign w:val="center"/>
          </w:tcPr>
          <w:p w14:paraId="63A46FD4">
            <w:pPr>
              <w:spacing w:line="240" w:lineRule="auto"/>
              <w:rPr>
                <w:b/>
                <w:sz w:val="16"/>
                <w:szCs w:val="16"/>
              </w:rPr>
            </w:pPr>
            <w:r>
              <w:rPr>
                <w:bCs/>
                <w:sz w:val="16"/>
                <w:szCs w:val="16"/>
              </w:rPr>
              <w:t>AV. CONTÔRNO NORTE X R. PANTANAL</w:t>
            </w:r>
          </w:p>
        </w:tc>
        <w:tc>
          <w:tcPr>
            <w:tcW w:w="1276" w:type="dxa"/>
            <w:tcBorders>
              <w:top w:val="nil"/>
              <w:left w:val="nil"/>
              <w:bottom w:val="single" w:color="000000" w:sz="4" w:space="0"/>
              <w:right w:val="single" w:color="000000" w:sz="4" w:space="0"/>
            </w:tcBorders>
            <w:shd w:val="clear" w:color="auto" w:fill="FFFFFF"/>
            <w:vAlign w:val="center"/>
          </w:tcPr>
          <w:p w14:paraId="36630291">
            <w:pPr>
              <w:spacing w:line="240" w:lineRule="auto"/>
              <w:jc w:val="center"/>
              <w:rPr>
                <w:b/>
                <w:sz w:val="16"/>
                <w:szCs w:val="16"/>
              </w:rPr>
            </w:pPr>
            <w:r>
              <w:rPr>
                <w:bCs/>
                <w:sz w:val="16"/>
                <w:szCs w:val="16"/>
              </w:rPr>
              <w:t>ZONA MÁXIMA DE RESTRIÇÃO</w:t>
            </w:r>
          </w:p>
        </w:tc>
        <w:tc>
          <w:tcPr>
            <w:tcW w:w="1417" w:type="dxa"/>
            <w:tcBorders>
              <w:top w:val="single" w:color="000000" w:sz="4" w:space="0"/>
              <w:left w:val="nil"/>
              <w:bottom w:val="single" w:color="000000" w:sz="4" w:space="0"/>
              <w:right w:val="single" w:color="000000" w:sz="4" w:space="0"/>
            </w:tcBorders>
            <w:shd w:val="clear" w:color="auto" w:fill="FFFFFF"/>
            <w:vAlign w:val="center"/>
          </w:tcPr>
          <w:p w14:paraId="0F663365">
            <w:pPr>
              <w:spacing w:line="240" w:lineRule="auto"/>
              <w:jc w:val="center"/>
              <w:rPr>
                <w:b/>
                <w:color w:val="000000"/>
                <w:sz w:val="16"/>
                <w:szCs w:val="16"/>
              </w:rPr>
            </w:pPr>
            <w:r>
              <w:rPr>
                <w:bCs/>
                <w:color w:val="000000"/>
                <w:sz w:val="16"/>
                <w:szCs w:val="16"/>
              </w:rPr>
              <w:t>2</w:t>
            </w:r>
          </w:p>
        </w:tc>
      </w:tr>
      <w:tr w14:paraId="3BD83B39">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2E09EA19">
            <w:pPr>
              <w:spacing w:line="240" w:lineRule="auto"/>
              <w:jc w:val="center"/>
              <w:rPr>
                <w:b/>
                <w:color w:val="000000"/>
                <w:sz w:val="16"/>
                <w:szCs w:val="16"/>
              </w:rPr>
            </w:pPr>
            <w:r>
              <w:rPr>
                <w:bCs/>
                <w:color w:val="000000"/>
                <w:sz w:val="16"/>
                <w:szCs w:val="16"/>
              </w:rPr>
              <w:t>110</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667AC7">
            <w:pPr>
              <w:spacing w:line="240" w:lineRule="auto"/>
              <w:rPr>
                <w:b/>
                <w:sz w:val="16"/>
                <w:szCs w:val="16"/>
              </w:rPr>
            </w:pPr>
            <w:r>
              <w:rPr>
                <w:bCs/>
                <w:sz w:val="16"/>
                <w:szCs w:val="16"/>
              </w:rPr>
              <w:t>R. 7 X R. JOSÉ XAVIER MORENO</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80F8E2">
            <w:pPr>
              <w:spacing w:line="240" w:lineRule="auto"/>
              <w:jc w:val="center"/>
              <w:rPr>
                <w:b/>
                <w:sz w:val="16"/>
                <w:szCs w:val="16"/>
              </w:rPr>
            </w:pPr>
            <w:r>
              <w:rPr>
                <w:bCs/>
                <w:sz w:val="16"/>
                <w:szCs w:val="16"/>
              </w:rPr>
              <w:t>ZONA MÁXIMA DE RESTRIÇÃO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D8F914">
            <w:pPr>
              <w:spacing w:line="240" w:lineRule="auto"/>
              <w:jc w:val="center"/>
              <w:rPr>
                <w:b/>
                <w:color w:val="000000"/>
                <w:sz w:val="16"/>
                <w:szCs w:val="16"/>
              </w:rPr>
            </w:pPr>
            <w:r>
              <w:rPr>
                <w:bCs/>
                <w:color w:val="000000"/>
                <w:sz w:val="16"/>
                <w:szCs w:val="16"/>
              </w:rPr>
              <w:t>2</w:t>
            </w:r>
          </w:p>
        </w:tc>
      </w:tr>
      <w:tr w14:paraId="38EEA578">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164D411">
            <w:pPr>
              <w:spacing w:line="240" w:lineRule="auto"/>
              <w:jc w:val="center"/>
              <w:rPr>
                <w:b/>
                <w:color w:val="000000"/>
                <w:sz w:val="16"/>
                <w:szCs w:val="16"/>
              </w:rPr>
            </w:pPr>
            <w:r>
              <w:rPr>
                <w:bCs/>
                <w:color w:val="000000"/>
                <w:sz w:val="16"/>
                <w:szCs w:val="16"/>
              </w:rPr>
              <w:t>111</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892A0">
            <w:pPr>
              <w:spacing w:line="240" w:lineRule="auto"/>
              <w:rPr>
                <w:b/>
                <w:sz w:val="16"/>
                <w:szCs w:val="16"/>
              </w:rPr>
            </w:pPr>
            <w:r>
              <w:rPr>
                <w:bCs/>
                <w:sz w:val="16"/>
                <w:szCs w:val="16"/>
              </w:rPr>
              <w:t>AV. GOIANIA X R. TREZE</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8DE71A">
            <w:pPr>
              <w:spacing w:line="240" w:lineRule="auto"/>
              <w:jc w:val="center"/>
              <w:rPr>
                <w:b/>
                <w:sz w:val="16"/>
                <w:szCs w:val="16"/>
              </w:rPr>
            </w:pPr>
            <w:r>
              <w:rPr>
                <w:bCs/>
                <w:sz w:val="16"/>
                <w:szCs w:val="16"/>
              </w:rPr>
              <w:t>ZONA MÁXIMA DE RESTRIÇÃO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7CEA0">
            <w:pPr>
              <w:spacing w:line="240" w:lineRule="auto"/>
              <w:jc w:val="center"/>
              <w:rPr>
                <w:b/>
                <w:color w:val="000000"/>
                <w:sz w:val="16"/>
                <w:szCs w:val="16"/>
              </w:rPr>
            </w:pPr>
            <w:r>
              <w:rPr>
                <w:bCs/>
                <w:color w:val="000000"/>
                <w:sz w:val="16"/>
                <w:szCs w:val="16"/>
              </w:rPr>
              <w:t>2</w:t>
            </w:r>
          </w:p>
        </w:tc>
      </w:tr>
      <w:tr w14:paraId="1C0B044A">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364EC22A">
            <w:pPr>
              <w:spacing w:line="240" w:lineRule="auto"/>
              <w:jc w:val="center"/>
              <w:rPr>
                <w:b/>
                <w:color w:val="000000"/>
                <w:sz w:val="16"/>
                <w:szCs w:val="16"/>
              </w:rPr>
            </w:pPr>
            <w:r>
              <w:rPr>
                <w:bCs/>
                <w:color w:val="000000"/>
                <w:sz w:val="16"/>
                <w:szCs w:val="16"/>
              </w:rPr>
              <w:t>112</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7B895F">
            <w:pPr>
              <w:spacing w:line="240" w:lineRule="auto"/>
              <w:rPr>
                <w:b/>
                <w:sz w:val="16"/>
                <w:szCs w:val="16"/>
              </w:rPr>
            </w:pPr>
            <w:r>
              <w:rPr>
                <w:bCs/>
                <w:sz w:val="16"/>
                <w:szCs w:val="16"/>
              </w:rPr>
              <w:t>AV. MAGNÓLIA ANGELICA ARAUJO X R. GIRASSOL C/B</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51B942">
            <w:pPr>
              <w:spacing w:line="240" w:lineRule="auto"/>
              <w:jc w:val="center"/>
              <w:rPr>
                <w:b/>
                <w:sz w:val="16"/>
                <w:szCs w:val="16"/>
              </w:rPr>
            </w:pPr>
            <w:r>
              <w:rPr>
                <w:bCs/>
                <w:sz w:val="16"/>
                <w:szCs w:val="16"/>
              </w:rPr>
              <w:t>ZONA MÁXIMA DE RESTRIÇÃO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3CF835">
            <w:pPr>
              <w:spacing w:line="240" w:lineRule="auto"/>
              <w:jc w:val="center"/>
              <w:rPr>
                <w:b/>
                <w:color w:val="000000"/>
                <w:sz w:val="16"/>
                <w:szCs w:val="16"/>
              </w:rPr>
            </w:pPr>
            <w:r>
              <w:rPr>
                <w:bCs/>
                <w:color w:val="000000"/>
                <w:sz w:val="16"/>
                <w:szCs w:val="16"/>
              </w:rPr>
              <w:t>2</w:t>
            </w:r>
          </w:p>
        </w:tc>
      </w:tr>
      <w:tr w14:paraId="774A1C4B">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DB0483F">
            <w:pPr>
              <w:spacing w:line="240" w:lineRule="auto"/>
              <w:jc w:val="center"/>
              <w:rPr>
                <w:b/>
                <w:color w:val="000000"/>
                <w:sz w:val="16"/>
                <w:szCs w:val="16"/>
              </w:rPr>
            </w:pPr>
            <w:r>
              <w:rPr>
                <w:bCs/>
                <w:color w:val="000000"/>
                <w:sz w:val="16"/>
                <w:szCs w:val="16"/>
              </w:rPr>
              <w:t>113</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D09006">
            <w:pPr>
              <w:spacing w:line="240" w:lineRule="auto"/>
              <w:rPr>
                <w:b/>
                <w:sz w:val="16"/>
                <w:szCs w:val="16"/>
              </w:rPr>
            </w:pPr>
            <w:r>
              <w:rPr>
                <w:bCs/>
                <w:sz w:val="16"/>
                <w:szCs w:val="16"/>
              </w:rPr>
              <w:t>AV. MAGNÓLIA ANGELICA ARAUJO X R. GIRASSOL B/C</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3208D3">
            <w:pPr>
              <w:spacing w:line="240" w:lineRule="auto"/>
              <w:jc w:val="center"/>
              <w:rPr>
                <w:b/>
                <w:sz w:val="16"/>
                <w:szCs w:val="16"/>
              </w:rPr>
            </w:pPr>
            <w:r>
              <w:rPr>
                <w:bCs/>
                <w:sz w:val="16"/>
                <w:szCs w:val="16"/>
              </w:rPr>
              <w:t>ZONA MÁXIMA DE RESTRIÇÃO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896DE8">
            <w:pPr>
              <w:spacing w:line="240" w:lineRule="auto"/>
              <w:jc w:val="center"/>
              <w:rPr>
                <w:b/>
                <w:color w:val="000000"/>
                <w:sz w:val="16"/>
                <w:szCs w:val="16"/>
              </w:rPr>
            </w:pPr>
            <w:r>
              <w:rPr>
                <w:bCs/>
                <w:color w:val="000000"/>
                <w:sz w:val="16"/>
                <w:szCs w:val="16"/>
              </w:rPr>
              <w:t>2</w:t>
            </w:r>
          </w:p>
        </w:tc>
      </w:tr>
      <w:tr w14:paraId="52E29A3D">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712C603B">
            <w:pPr>
              <w:spacing w:line="240" w:lineRule="auto"/>
              <w:jc w:val="center"/>
              <w:rPr>
                <w:b/>
                <w:color w:val="000000"/>
                <w:sz w:val="16"/>
                <w:szCs w:val="16"/>
              </w:rPr>
            </w:pPr>
            <w:r>
              <w:rPr>
                <w:bCs/>
                <w:color w:val="000000"/>
                <w:sz w:val="16"/>
                <w:szCs w:val="16"/>
              </w:rPr>
              <w:t>114</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74A25B">
            <w:pPr>
              <w:spacing w:line="240" w:lineRule="auto"/>
              <w:rPr>
                <w:b/>
                <w:sz w:val="16"/>
                <w:szCs w:val="16"/>
              </w:rPr>
            </w:pPr>
            <w:r>
              <w:rPr>
                <w:bCs/>
                <w:sz w:val="16"/>
                <w:szCs w:val="16"/>
              </w:rPr>
              <w:t>AV. FLORIANÓPOLIS X R. BELÉM</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855EB0">
            <w:pPr>
              <w:spacing w:line="240" w:lineRule="auto"/>
              <w:jc w:val="center"/>
              <w:rPr>
                <w:b/>
                <w:sz w:val="16"/>
                <w:szCs w:val="16"/>
              </w:rPr>
            </w:pPr>
            <w:r>
              <w:rPr>
                <w:bCs/>
                <w:sz w:val="16"/>
                <w:szCs w:val="16"/>
              </w:rPr>
              <w:t>ZONA MÁXIMA DE RESTRIÇÃO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8E79C6">
            <w:pPr>
              <w:spacing w:line="240" w:lineRule="auto"/>
              <w:jc w:val="center"/>
              <w:rPr>
                <w:b/>
                <w:color w:val="000000"/>
                <w:sz w:val="16"/>
                <w:szCs w:val="16"/>
              </w:rPr>
            </w:pPr>
            <w:r>
              <w:rPr>
                <w:bCs/>
                <w:color w:val="000000"/>
                <w:sz w:val="16"/>
                <w:szCs w:val="16"/>
              </w:rPr>
              <w:t>2</w:t>
            </w:r>
          </w:p>
        </w:tc>
      </w:tr>
      <w:tr w14:paraId="307FC554">
        <w:tblPrEx>
          <w:tblCellMar>
            <w:top w:w="0" w:type="dxa"/>
            <w:left w:w="70" w:type="dxa"/>
            <w:bottom w:w="0" w:type="dxa"/>
            <w:right w:w="70" w:type="dxa"/>
          </w:tblCellMar>
        </w:tblPrEx>
        <w:trPr>
          <w:trHeight w:val="660" w:hRule="atLeast"/>
        </w:trPr>
        <w:tc>
          <w:tcPr>
            <w:tcW w:w="1017"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5A43F2FF">
            <w:pPr>
              <w:spacing w:line="240" w:lineRule="auto"/>
              <w:jc w:val="center"/>
              <w:rPr>
                <w:b/>
                <w:color w:val="000000"/>
                <w:sz w:val="16"/>
                <w:szCs w:val="16"/>
              </w:rPr>
            </w:pPr>
            <w:r>
              <w:rPr>
                <w:bCs/>
                <w:color w:val="000000"/>
                <w:sz w:val="16"/>
                <w:szCs w:val="16"/>
              </w:rPr>
              <w:t>115</w:t>
            </w:r>
          </w:p>
        </w:tc>
        <w:tc>
          <w:tcPr>
            <w:tcW w:w="5499"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CDFC7F">
            <w:pPr>
              <w:spacing w:line="240" w:lineRule="auto"/>
              <w:rPr>
                <w:b/>
                <w:sz w:val="16"/>
                <w:szCs w:val="16"/>
              </w:rPr>
            </w:pPr>
            <w:r>
              <w:rPr>
                <w:bCs/>
                <w:sz w:val="16"/>
                <w:szCs w:val="16"/>
              </w:rPr>
              <w:t>R. BELEM X AV. BELO HORIZONTE</w:t>
            </w:r>
          </w:p>
        </w:tc>
        <w:tc>
          <w:tcPr>
            <w:tcW w:w="127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5C8881">
            <w:pPr>
              <w:spacing w:line="240" w:lineRule="auto"/>
              <w:jc w:val="center"/>
              <w:rPr>
                <w:b/>
                <w:sz w:val="16"/>
                <w:szCs w:val="16"/>
              </w:rPr>
            </w:pPr>
            <w:r>
              <w:rPr>
                <w:bCs/>
                <w:sz w:val="16"/>
                <w:szCs w:val="16"/>
              </w:rPr>
              <w:t>ZONA MÁXIMA DE RESTRIÇÃO</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ED73CA">
            <w:pPr>
              <w:spacing w:line="240" w:lineRule="auto"/>
              <w:jc w:val="center"/>
              <w:rPr>
                <w:b/>
                <w:color w:val="000000"/>
                <w:sz w:val="16"/>
                <w:szCs w:val="16"/>
              </w:rPr>
            </w:pPr>
            <w:r>
              <w:rPr>
                <w:bCs/>
                <w:color w:val="000000"/>
                <w:sz w:val="16"/>
                <w:szCs w:val="16"/>
              </w:rPr>
              <w:t>2</w:t>
            </w:r>
          </w:p>
        </w:tc>
      </w:tr>
    </w:tbl>
    <w:p w14:paraId="030448FC">
      <w:pPr>
        <w:spacing w:before="276"/>
        <w:ind w:left="85"/>
        <w:jc w:val="both"/>
      </w:pPr>
    </w:p>
    <w:p w14:paraId="531E73CE">
      <w:pPr>
        <w:pStyle w:val="3"/>
        <w:jc w:val="both"/>
        <w:rPr>
          <w:rFonts w:ascii="Arial" w:hAnsi="Arial" w:eastAsia="Arial" w:cs="Arial"/>
          <w:b/>
          <w:color w:val="000000"/>
          <w:sz w:val="22"/>
          <w:szCs w:val="22"/>
        </w:rPr>
      </w:pPr>
      <w:r>
        <w:rPr>
          <w:rFonts w:ascii="Arial" w:hAnsi="Arial" w:eastAsia="Arial" w:cs="Arial"/>
          <w:b/>
          <w:color w:val="000000"/>
          <w:sz w:val="22"/>
          <w:szCs w:val="22"/>
        </w:rPr>
        <w:t xml:space="preserve">14. Software para processamento as infrações e recursos de infrações, inclusive com apoio a JARI </w:t>
      </w:r>
    </w:p>
    <w:p w14:paraId="524D75A2">
      <w:p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b/>
          <w:color w:val="000000"/>
        </w:rPr>
      </w:pPr>
      <w:r>
        <w:rPr>
          <w:b/>
          <w:color w:val="000000"/>
        </w:rPr>
        <w:t>Informações gerais da segurança e dos sistemas integrados</w:t>
      </w:r>
    </w:p>
    <w:p w14:paraId="00A6B2D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 O sistema para processamento e Gestão de Multas e processamento das informações geradas deverá ser integrado, com banco de dados relacional para processamento dos dados em geral, não relacional para armazenamento de logs e banco de dados orientado a colunas para grandes volumes de informação como do fluxo veicular, interligando todas as funcionalidades disponíveis utilizando micro serviços, sendo possível a liberação de acesso para usuários de forma restrita com as necessidades de cada grupo de usuário.</w:t>
      </w:r>
    </w:p>
    <w:p w14:paraId="1628175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 Deverá possuir módulo de configuração gerencial de todas as informações pertinentes aos sistemas que integram esse item;</w:t>
      </w:r>
    </w:p>
    <w:p w14:paraId="1B14E6D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 O sistema deve permitir o acesso via internet, sem necessidade de instalação, podendo ser acessado de qualquer lugar do mundo;</w:t>
      </w:r>
    </w:p>
    <w:p w14:paraId="0BE775F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14.4 O sistema deve possuir certificado Transport Layer Security, tornando seguro o acesso e a transmissão de informações sensíveis. </w:t>
      </w:r>
    </w:p>
    <w:p w14:paraId="49A66AD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14.5 O sistema de Gestão de Multas e seus módulos deverão ser de propriedade da CONTRATADA;</w:t>
      </w:r>
    </w:p>
    <w:p w14:paraId="105DF9A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14.6 O sistema deve contar com relatórios gerenciais analíticos, sintético e de Business Intelligence, de forma que a CONTRATANTE tenha todas as informações pertinentes ao processamento e seus controles;</w:t>
      </w:r>
    </w:p>
    <w:p w14:paraId="003F9D1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14.7 Possuir mecanismo para conversão de banco de dados e importação das informações geradas por outras empresas processadoras;</w:t>
      </w:r>
    </w:p>
    <w:p w14:paraId="2379526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14.8 Deverá possuir nas telas a funcionalidade de ajuda, contendo informações pertinentes ao processamento, podendo ser acessado por atalhos pré-definidos;</w:t>
      </w:r>
    </w:p>
    <w:p w14:paraId="005AAF8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14.9 O sistema deverá interagir automaticamente com a interface de protocolo de transferência de arquivos, executando a importação das informações recebidas automaticamente sem intervenção manual e de forma on-line;</w:t>
      </w:r>
    </w:p>
    <w:p w14:paraId="320CB72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14.10 Deverá possuir rotina para agendamento de horário de importação de modo que não interfira em outras funcionalidades automáticas;</w:t>
      </w:r>
    </w:p>
    <w:p w14:paraId="2CDBC06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14.11 Instalação e licenças dos bancos de dados serão de responsabilidade da CONTRATADA, devendo considerar todos os protocolos de segurança;</w:t>
      </w:r>
    </w:p>
    <w:p w14:paraId="0570A76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14.12 O sistema deverá permitir a importação das informações de frota, disponibilizada pelo órgão responsável;</w:t>
      </w:r>
    </w:p>
    <w:p w14:paraId="4DD2E38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14.13 O sistema deverá conter a parametrização inicial para perfeito funcionamento, tendo os cadastros preliminares dos dados ou cargas das informações que forem disponibilizadas pela CONTRATANTE;</w:t>
      </w:r>
    </w:p>
    <w:p w14:paraId="2E70567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14.14 Os dispositivos e arquivos, incluindo as cópias de segurança e as imagens geradas em todo processo, em perfeitas condições, serão entregues à CONTRATANTE ao final da vigência do Contrato, ou a qualquer momento, quando por esta solicitados;</w:t>
      </w:r>
    </w:p>
    <w:p w14:paraId="26B2D11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14.15 A CONTRATADA deverá disponibilizar à CONTRATANTE os serviços de “Servidor de Provedoria” em 24x7, para a hospedagem dos dados para acesso e uso através da Internet;</w:t>
      </w:r>
    </w:p>
    <w:p w14:paraId="350BB3A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14.16 A CONTRATADA deverá disponibilizar a documentação técnica referente às informações de segurança de onde a aplicação e banco de dados estão instalados;</w:t>
      </w:r>
    </w:p>
    <w:p w14:paraId="1CF8AB4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14.17 Controle de acesso seletivo por usuário do sistema através de senha criptografada;</w:t>
      </w:r>
    </w:p>
    <w:p w14:paraId="0AD045F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14.18 Acesso por multiusuários determinando o nível de acesso de acordo com as responsabilidades atribuídas para cada usuário;</w:t>
      </w:r>
    </w:p>
    <w:p w14:paraId="7319203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14.19 Possuir controle e registro das intervenções realizadas no sistema com o respectivo operador, data e hora;</w:t>
      </w:r>
    </w:p>
    <w:p w14:paraId="25F6F2F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14.20 O sistema deverá enviar notificações via e-mail aos usuários das ocorrências de importação automáticas, tanto para transações realizados com sucesso como para as que precisam de verificação;</w:t>
      </w:r>
    </w:p>
    <w:p w14:paraId="0DD3E51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14.21 A segurança dos dados do sistema deverá ser efetuada pela CONTRATADA, através de sistema automático de backup e esse deverá ser disponibilizado sempre que solicitado;</w:t>
      </w:r>
    </w:p>
    <w:p w14:paraId="15088AC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14.22 Os servidores deverão possuir proteção contra invasão através de firewall em todos os protocolos;</w:t>
      </w:r>
    </w:p>
    <w:p w14:paraId="03C0016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14.23 A CONTRATADA deve contemplar uma plataforma de controle de versionamento (formulários, relatórios, regras de negócio e base on-line do sistema);</w:t>
      </w:r>
    </w:p>
    <w:p w14:paraId="7803A15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14.24 Contemplar um gerador de documentação do projeto que deverá ser entregue para a CONTRATANTE sempre que solicitado alterações;</w:t>
      </w:r>
    </w:p>
    <w:p w14:paraId="3E51724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14.25 Contemplar recurso de rastreabilidade de impacto das alterações realizadas nos objetos (formulários, regras de negócio, relatórios);</w:t>
      </w:r>
    </w:p>
    <w:p w14:paraId="5599E86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14.26 Os serviços devem estar disponíveis em 24x7 e quando for necessária alguma manutenção, a CONTRATANTE deverá informar, com pelo menos cinco dias úteis de antecedência;</w:t>
      </w:r>
    </w:p>
    <w:p w14:paraId="0C74C23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14.27 Fica vedada a reprodução das imagens, fora do previsto nestas Especificações Técnicas, por meio digital, em papel ou qualquer outro meio, sem o prévio consentimento da CONTRATANTE;</w:t>
      </w:r>
    </w:p>
    <w:p w14:paraId="764C27F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14.28 Os servidores deverão estar alocados em Data Center e possuir rotinas que garantam a existência de cópias de segurança atualizadas diariamente e guardadas em ambiente seguro, atendendo no mínimo, os requisitos descritos abaixo:</w:t>
      </w:r>
    </w:p>
    <w:p w14:paraId="62A673CA">
      <w:pPr>
        <w:numPr>
          <w:ilvl w:val="0"/>
          <w:numId w:val="18"/>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pPr>
      <w:r>
        <w:rPr>
          <w:color w:val="000000"/>
        </w:rPr>
        <w:t>Data Center com alta disponibilidade, desempenho e balanceamento de carga, que detenha certificação reconhecida pelos órgãos competentes para todos os critérios de Segurança Física (fogo, falta de energia, antifurto) e Segurança Tecnológica (anti-hackers);</w:t>
      </w:r>
    </w:p>
    <w:p w14:paraId="26B501CC">
      <w:pPr>
        <w:numPr>
          <w:ilvl w:val="0"/>
          <w:numId w:val="18"/>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Fornecimento ininterrupto de energia com climatização ideal garantindo o bom funcionamento dos servidores;</w:t>
      </w:r>
    </w:p>
    <w:p w14:paraId="0912BACA">
      <w:pPr>
        <w:numPr>
          <w:ilvl w:val="0"/>
          <w:numId w:val="18"/>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Firewall com Balanceamento de Carga em 03 Camadas, Load Balance no Banco de Dados Distribuído e na camada WEB;</w:t>
      </w:r>
    </w:p>
    <w:p w14:paraId="2E949C65">
      <w:pPr>
        <w:numPr>
          <w:ilvl w:val="0"/>
          <w:numId w:val="18"/>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Múltiplos links de comunicação de alto desempenho com banda ilimitada visando a garantia de alta disponibilidade, em toda área geográfica de interesse, estabelecidas ou não no Município;</w:t>
      </w:r>
    </w:p>
    <w:p w14:paraId="16408D56">
      <w:pPr>
        <w:numPr>
          <w:ilvl w:val="0"/>
          <w:numId w:val="18"/>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Softwares para segurança da informação que garantam o sigilo e a proteção contra “roubo de informações” que possam ocorrer através de ataques realizados por pessoas de fora do ambiente e de dentro do próprio ambiente disponibilizado;</w:t>
      </w:r>
    </w:p>
    <w:p w14:paraId="457ACA06">
      <w:pPr>
        <w:numPr>
          <w:ilvl w:val="0"/>
          <w:numId w:val="18"/>
        </w:numPr>
        <w:pBdr>
          <w:top w:val="none" w:color="auto" w:sz="0" w:space="0"/>
          <w:left w:val="none" w:color="auto" w:sz="0" w:space="0"/>
          <w:bottom w:val="none" w:color="auto" w:sz="0" w:space="0"/>
          <w:right w:val="none" w:color="auto" w:sz="0" w:space="0"/>
          <w:between w:val="none" w:color="auto" w:sz="0" w:space="0"/>
        </w:pBdr>
        <w:spacing w:line="230" w:lineRule="auto"/>
        <w:ind w:right="2"/>
        <w:jc w:val="both"/>
      </w:pPr>
      <w:r>
        <w:rPr>
          <w:color w:val="000000"/>
        </w:rPr>
        <w:t>Serviço de monitoramento de hardware, software e tráfego de dados 24x7x365.,</w:t>
      </w:r>
    </w:p>
    <w:p w14:paraId="12A52159">
      <w:pPr>
        <w:pBdr>
          <w:top w:val="none" w:color="auto" w:sz="0" w:space="0"/>
          <w:left w:val="none" w:color="auto" w:sz="0" w:space="0"/>
          <w:bottom w:val="none" w:color="auto" w:sz="0" w:space="0"/>
          <w:right w:val="none" w:color="auto" w:sz="0" w:space="0"/>
          <w:between w:val="none" w:color="auto" w:sz="0" w:space="0"/>
        </w:pBdr>
        <w:spacing w:line="230" w:lineRule="auto"/>
        <w:ind w:left="722" w:right="2"/>
        <w:jc w:val="both"/>
        <w:rPr>
          <w:color w:val="000000"/>
        </w:rPr>
      </w:pPr>
    </w:p>
    <w:p w14:paraId="63FD0CA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bCs/>
          <w:color w:val="000000"/>
        </w:rPr>
        <w:t>14.29</w:t>
      </w:r>
      <w:r>
        <w:rPr>
          <w:b/>
          <w:color w:val="000000"/>
        </w:rPr>
        <w:t xml:space="preserve"> Transmissão e recebimento das imagens de fiscalização eletrônica, monitoramento do funcionamento dos equipamentos e análise das informações</w:t>
      </w:r>
      <w:r>
        <w:rPr>
          <w:b/>
          <w:color w:val="000000"/>
        </w:rPr>
        <w:br w:type="textWrapping"/>
      </w:r>
    </w:p>
    <w:p w14:paraId="7DDB3AC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 A CONTRATADA deverá disponibilizar sistemas informatizados e automatizados para recebimento das imagens de fiscalização eletrônica, integrando todos os prestadores de serviços em um único sistema.</w:t>
      </w:r>
    </w:p>
    <w:p w14:paraId="5E6AFBD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 As imagens dos veículos infratores, imagens testes e informações dos fluxos veiculares deverão ser recepcionados e disponibilizados para o controle dos usuários da CCO.</w:t>
      </w:r>
    </w:p>
    <w:p w14:paraId="494D858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14.29.3 A transmissão das informações deverá ocorrer de forma segura, através de comunicação utilizando túnel criptografado.</w:t>
      </w:r>
    </w:p>
    <w:p w14:paraId="3E08A55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14.29.4 A recepção das imagens deverá ser realizada de forma imediata ao CCO, não devendo superar o tempo de 10 (dez) segundos, salvo em perda de conectividade com o equipamento ou outro problema da operadora. </w:t>
      </w:r>
    </w:p>
    <w:p w14:paraId="6CBC133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14.29.5 O sistema deve ser capaz de informar qualquer divergência no tempo de recepção das imagens e do fluxo, mostrando em dashboard se o envio das imagens pelos fornecedores estão em atraso.</w:t>
      </w:r>
    </w:p>
    <w:p w14:paraId="063ABEB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14.29.6 O sistema deve possuir funcionalidades para avaliação da qualidade das imagens assim que as mesmas forem recepcionadas.</w:t>
      </w:r>
    </w:p>
    <w:p w14:paraId="16B324C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14.29.7 A aplicação deverá ficar alocada nos servidores da CONTRATADA, desde que contemple a segurança necessária descrita no início desse termo;</w:t>
      </w:r>
    </w:p>
    <w:p w14:paraId="7195FBB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14.29.8 O sistema poderá ser disponibilizado para terceiros, como: fornecedores dos equipamentos de fiscalização eletrônica, controladores de segurança pública, polícia e outros stakeholders envolvidos com a segurança, considerando a permissão de cada usuário;</w:t>
      </w:r>
    </w:p>
    <w:p w14:paraId="21E79CF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14.29.9 Permitir a integração com os fornecedores de equipamentos de fiscalização eletrônica, atuantes no Município, para recebimento das informações de fluxo veicular, imagens comprobatórias do funcionamento dos equipamentos (imagem teste) e infrações;</w:t>
      </w:r>
    </w:p>
    <w:p w14:paraId="4D7E5E3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14.29.10 O sistema deve estar preparado para receber grandes quantidades de informações e permitir a parametrização do tempo entre informações de um mesmo equipamento para que este seja considerado ativo; </w:t>
      </w:r>
    </w:p>
    <w:p w14:paraId="03F148B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14.29.11 Possuir um dashboard contendo o controle de quantidades recebidas de fluxo veicular e infrações por fornecedor;</w:t>
      </w:r>
    </w:p>
    <w:p w14:paraId="5A7E403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14.29.12 Permitir a consulta dos dados de fluxo veicular através de filtros definidos, mostrando os dados de data, hora, local, equipamento e placa do veículo;</w:t>
      </w:r>
    </w:p>
    <w:p w14:paraId="38721AE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14.29.13 Possuir funcionalidade para rastrear a movimentação de um veículo específico entre os equipamentos instalados no Município;</w:t>
      </w:r>
    </w:p>
    <w:p w14:paraId="0C7EEE1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14.29.14 Funcionalidades para controle de equipamentos, permitindo o cadastro das informações com seus respectivos documentos de aferições, estudos técnicos, laudos e outros que forem necessários;</w:t>
      </w:r>
    </w:p>
    <w:p w14:paraId="7C8141A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14.29.15 O sistema deve permitir o cadastro preliminar dos locais os quais têm solicitações de instalação de fiscalização eletrônica, o qual recebemos por populares ou outros meios de solicitação. </w:t>
      </w:r>
    </w:p>
    <w:p w14:paraId="05C04DD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14.29.16 O sistema deve ter funcionalidades dos quais a Administração pode escolher o endereço com a maior quantidade de solicitações e aprovar para o estudo de viabilidade.</w:t>
      </w:r>
    </w:p>
    <w:p w14:paraId="3D77883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14.29.17 O sistema deve possuir funcionalidades para cadastrar as informações do estudo de viabilidade, formulando o devido cálculo de viabilidade considerando o peso de cada resposta do estudo que antecede a instalação dos equipamentos eletrônicos.</w:t>
      </w:r>
    </w:p>
    <w:p w14:paraId="2DB1DF5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14.29.18 O sistema deve permitir que o cadastro de estudo de viabilidade seja realizado pelos fornecedores, possibilitando que a administração faça a aprovação da instalação do equipamento, trazendo a informação de viabilidade de instalação de equipamentos eletrônicos na via escolhida, considerando o percentual de viabilidade técnica dentro das informações cadastradas.</w:t>
      </w:r>
    </w:p>
    <w:p w14:paraId="1BD2681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14.29.19 O sistema deve possuir a funcionalidade de permitir a solicitação de instalação da fiscalização eletrônica, permitindo que o fornecedor de radar faça o documento de estudo técnico que antecede a instalação.</w:t>
      </w:r>
    </w:p>
    <w:p w14:paraId="71EF555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14.29.20 O sistema deve possuir funcionalidades de aprovação do estudo técnico pela Administração, para que de fato seja concretizado a instalação do equipamento no local.</w:t>
      </w:r>
    </w:p>
    <w:p w14:paraId="05AA3D3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14.29.21 O sistema deve permitir a visualização do dossiê do cadastro de equipamento, consistindo na apresentação de todos os documentos que foram cadastrados, para que a autoridade de trânsito aprove o início do funcionamento dos equipamentos.</w:t>
      </w:r>
    </w:p>
    <w:p w14:paraId="6EFBCAA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14.29.22 O sistema deve permitir que os registros de infração sejam válidos somente após a data de aprovação e data configurada para início de processamento, mesmo que o equipamento esteja ligado.</w:t>
      </w:r>
    </w:p>
    <w:p w14:paraId="4C9B9C0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14.29.23 Possuir um dashboard mostrando as imagens comprobatórias de funcionamento dos equipamentos de tal modo que seja possível identificar facilmente aqueles que estejam com algum problema;</w:t>
      </w:r>
    </w:p>
    <w:p w14:paraId="08BC92B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14.29.24 Possuir Mapa Georreferenciado com os equipamentos, com destaque visual identificando os equipamentos em funcionamento e os equipamentos sem atividade;</w:t>
      </w:r>
    </w:p>
    <w:p w14:paraId="4555C48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14.29.25 Possuir um painel contendo todos os equipamentos instalados no Município que estão em funcionamento, separando de maneira clara quais equipamentos não receberam dados no período parametrizado;</w:t>
      </w:r>
    </w:p>
    <w:p w14:paraId="066182E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bCs/>
          <w:color w:val="000000"/>
        </w:rPr>
        <w:t>14.30</w:t>
      </w:r>
      <w:r>
        <w:rPr>
          <w:b/>
          <w:color w:val="000000"/>
        </w:rPr>
        <w:t xml:space="preserve"> Módulo de Relatórios Gerenciais</w:t>
      </w:r>
    </w:p>
    <w:p w14:paraId="65E6B3A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 CONTRATADA deverá fornecer à CONTRATANTE, relatórios gerenciais analíticos e sintéticos conforme layout definido, sempre que solicitado, conforme segue abaixo ou outros que forem sendo necessários:</w:t>
      </w:r>
    </w:p>
    <w:p w14:paraId="5E87C7B1">
      <w:pPr>
        <w:spacing w:line="240" w:lineRule="auto"/>
        <w:jc w:val="both"/>
      </w:pPr>
    </w:p>
    <w:p w14:paraId="1A04B4F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bCs/>
          <w:color w:val="000000"/>
        </w:rPr>
        <w:t>14.30.1</w:t>
      </w:r>
      <w:r>
        <w:rPr>
          <w:b/>
          <w:color w:val="000000"/>
        </w:rPr>
        <w:t xml:space="preserve"> Relatórios para Medição</w:t>
      </w:r>
    </w:p>
    <w:p w14:paraId="419EE4C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A aprovação da medição estará condicionada a entrega dos relatórios listados abaixo, visto que tais relatórios são necessários para validar a produtividade dos equipamentos de fiscalização eletrônica.</w:t>
      </w:r>
    </w:p>
    <w:p w14:paraId="07BCAFD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Financeiro:</w:t>
      </w:r>
      <w:r>
        <w:rPr>
          <w:color w:val="000000"/>
        </w:rPr>
        <w:t xml:space="preserve"> Por equipamento com quantidade de fluxo veicular, quantidade de notificações impressas e valores;</w:t>
      </w:r>
    </w:p>
    <w:p w14:paraId="6CB1BDD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Aproveitamento:</w:t>
      </w:r>
      <w:r>
        <w:rPr>
          <w:color w:val="000000"/>
        </w:rPr>
        <w:t xml:space="preserve"> Por faixa de equipamento, com quantidade de infrações processadas válidas, invalidadas por motivos técnicos e não técnicos, com percentual de aproveitamento;</w:t>
      </w:r>
    </w:p>
    <w:p w14:paraId="79CDB86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Analítico detalhado:</w:t>
      </w:r>
      <w:r>
        <w:rPr>
          <w:color w:val="000000"/>
        </w:rPr>
        <w:t xml:space="preserve"> Aproveitamento por faixa de equipamento, por dia, destacando equipamentos sem produtividade;</w:t>
      </w:r>
    </w:p>
    <w:p w14:paraId="6429123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Fluxo veicular:</w:t>
      </w:r>
      <w:r>
        <w:rPr>
          <w:color w:val="000000"/>
        </w:rPr>
        <w:t xml:space="preserve"> Volumetria de veículos infratores, por faixa de rolamento, com data, dia da semana, faixa de horário, faixa de velocidade, enquadramento e porte dos veículos;</w:t>
      </w:r>
    </w:p>
    <w:p w14:paraId="16AD12D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Mapa de infrações:</w:t>
      </w:r>
      <w:r>
        <w:rPr>
          <w:color w:val="000000"/>
        </w:rPr>
        <w:t xml:space="preserve"> Quantidade de infrações processadas, por faixa de equipamentos, por dia, faixa de horário;</w:t>
      </w:r>
    </w:p>
    <w:p w14:paraId="08B783F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Mapa de infrações por equipamento:</w:t>
      </w:r>
      <w:r>
        <w:rPr>
          <w:color w:val="000000"/>
        </w:rPr>
        <w:t xml:space="preserve"> Quantidade de infrações processadas, por equipamentos, por dia, faixa de horário;</w:t>
      </w:r>
    </w:p>
    <w:p w14:paraId="034D67E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Mapa de veiculos:</w:t>
      </w:r>
      <w:r>
        <w:rPr>
          <w:color w:val="000000"/>
        </w:rPr>
        <w:t xml:space="preserve"> Volumetria do tráfego de todos os veículos, por hora e por dia, contendo o volume diário médio (VDM) do trânsito local;</w:t>
      </w:r>
    </w:p>
    <w:p w14:paraId="4B96E67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b/>
          <w:color w:val="000000"/>
        </w:rPr>
        <w:t>Mapa de imagens:</w:t>
      </w:r>
      <w:r>
        <w:rPr>
          <w:color w:val="000000"/>
        </w:rPr>
        <w:t xml:space="preserve"> Relação por ordem de imagens processadas, com data da infração, placa, enquadramento, UF e valor;</w:t>
      </w:r>
    </w:p>
    <w:p w14:paraId="7714919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bCs/>
          <w:color w:val="000000"/>
        </w:rPr>
        <w:t>14.31</w:t>
      </w:r>
      <w:r>
        <w:rPr>
          <w:b/>
          <w:color w:val="000000"/>
        </w:rPr>
        <w:t xml:space="preserve"> SISTEMAS PARA APOIO NO PROCESSAMENTO DAS INFRAÇÕES DE TRÂNSITO</w:t>
      </w:r>
    </w:p>
    <w:p w14:paraId="6B22325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Processamento das Infrações de Fiscalização Eletrônica</w:t>
      </w:r>
    </w:p>
    <w:p w14:paraId="19F1D70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 O sistema deve possuir funcionalidade para integração das imagens e registros gerados pelos equipamentos de fiscalização eletrônica;</w:t>
      </w:r>
    </w:p>
    <w:p w14:paraId="6DD3BE0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 As imagens, no momento de sua captura, devem ser armazenadas e criptografadas por algoritmo reconhecidamente seguro, de forma que somente possam ser visualizadas por usuários autorizados e não por software comercial ou de terceiros, garantindo sempre o seu sigilo;</w:t>
      </w:r>
    </w:p>
    <w:p w14:paraId="6F2ED8A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14.31.3 O sistema de processamento de imagens deverá rejeitar quais queres imagens e dados que não estejam criptografados, garantindo sua integridade e características originais, além de evitar acesso não autorizado aos dados e imagens;</w:t>
      </w:r>
    </w:p>
    <w:p w14:paraId="7339858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14.31.4 A CONTRATADA será responsável em processar previamente as imagens recebidas e classificá-las em válidas e inválidas, registrando a motivação dos descartes das inválidas, ainda classificar as inválidas por problemas técnicos (causados por problemas nos equipamentos) e problemas não técnicos (causados por outras invalidações como: placas cobertas, sujas ou apagadas, sombra de sol e etc).</w:t>
      </w:r>
    </w:p>
    <w:p w14:paraId="00C3B12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14.31.5 O sistema deverá possuir funcionalidade para leitura automática de placas, através da imagem gerada, como primeira etapa do processo, gerando relatório de assertividade;</w:t>
      </w:r>
    </w:p>
    <w:p w14:paraId="6E7018C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14.31.6 O sistema deve ter controle de assertividade da leitura automática de placas e permitir a avaliação de um humano para os casos que não foram possíveis o reconhecimento.</w:t>
      </w:r>
    </w:p>
    <w:p w14:paraId="5D7394E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14.31.7 Gerar relatórios quantitativos e qualitativos das placas lidas automaticamente e das que foram digitadas.</w:t>
      </w:r>
    </w:p>
    <w:p w14:paraId="3624955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14.31.8 Os dispositivos e sistema de OCR dos equipamentos eletrônicos deverão permitir a integração e aproveitamento dos dados e imagens registrados para aproveitamento do órgão no controle estratégico do trânsito;</w:t>
      </w:r>
    </w:p>
    <w:p w14:paraId="3483387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14.31.9 As imagens classificadas deverão ser disponibilizadas para CONTRATANTE com no máximo sete dias corridos após a data da infração;</w:t>
      </w:r>
    </w:p>
    <w:p w14:paraId="291A676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14.31.10 As imagens classificadas como válidas deverão possuir tratamento de recortes de placas e obliteração, conforme definido pelo órgão, as quais deverão ser impressas na notificação;</w:t>
      </w:r>
    </w:p>
    <w:p w14:paraId="74FEA8E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14.31.11 A imagem original deverá ser preservada, mesmo que tenha sofrido tratamento mencionado acima, o sistema deverá guardar todas as versões das imagens;</w:t>
      </w:r>
    </w:p>
    <w:p w14:paraId="68A2536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14.31.12 As imagens classificadas como válidas deverão ser disponibilizadas no próprio sistema para convalidação dos agentes designados pela CONTRATANTE;</w:t>
      </w:r>
    </w:p>
    <w:p w14:paraId="366653C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14.31.13 O sistema deve permitir que a convalidação das imagens inválidas seja efetuada por amostragem, individualmente ou escolhendo um tipo de motivação de invalidação, além de permitir que sejam convertidas em válidas se a autoridade de trânsito desejar;</w:t>
      </w:r>
    </w:p>
    <w:p w14:paraId="0EA916C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14.31.14 Os motivos de descarte deverão ser aprovados pela CONTRATANTE e o sistema deve permitir, se necessário, a inclusão ou exclusão de qualquer motivo de descarte;</w:t>
      </w:r>
    </w:p>
    <w:p w14:paraId="07DC3C3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14.31.15 Todas as imagens devem ser disponibilizadas contendo no mínimo as informações a seguir:</w:t>
      </w:r>
    </w:p>
    <w:p w14:paraId="26FFEFD7">
      <w:pPr>
        <w:numPr>
          <w:ilvl w:val="0"/>
          <w:numId w:val="19"/>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000000"/>
        </w:rPr>
      </w:pPr>
      <w:r>
        <w:rPr>
          <w:color w:val="000000"/>
        </w:rPr>
        <w:t>Imagem zoom para autuações de velocidade;</w:t>
      </w:r>
    </w:p>
    <w:p w14:paraId="43A0D25D">
      <w:pPr>
        <w:numPr>
          <w:ilvl w:val="0"/>
          <w:numId w:val="19"/>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Imagem zoom e panorâmica para autuações de avanço semafórico, parada sobre a faixa e conversão proibida, bem como vídeo do cometimento da infração;</w:t>
      </w:r>
    </w:p>
    <w:p w14:paraId="0BB309AA">
      <w:pPr>
        <w:numPr>
          <w:ilvl w:val="0"/>
          <w:numId w:val="19"/>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Informações referentes à autuação;</w:t>
      </w:r>
    </w:p>
    <w:p w14:paraId="6E8663FF">
      <w:pPr>
        <w:numPr>
          <w:ilvl w:val="0"/>
          <w:numId w:val="19"/>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Informações do veículo autuado;</w:t>
      </w:r>
    </w:p>
    <w:p w14:paraId="34B7120B">
      <w:pPr>
        <w:numPr>
          <w:ilvl w:val="0"/>
          <w:numId w:val="19"/>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Caso o equipamento registre a infração de avanço semafórico, parada sobre a faixa e/ou conversão proibida com vídeo, o mesmo deverá estar disponível na tela de convalidação dos usuários designados pela CONTRATANTE;</w:t>
      </w:r>
    </w:p>
    <w:p w14:paraId="6E3BF2C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14.31.16 Na falta de algum item mencionado acima, a infração será considerada como inválida por inconsistência e problema técnico;</w:t>
      </w:r>
    </w:p>
    <w:p w14:paraId="0CDCD04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14.31.17 O sistema deve ter uma funcionalidade de pesquisa de placas na tela de convalidação, trazendo as informações dos veículos registrados no banco de dados, facilitando a validação de marca e modelo;</w:t>
      </w:r>
    </w:p>
    <w:p w14:paraId="0E2DDDB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14.31.18 Possuir funcionalidade de re-digitar a placa caso constate na convalidação que a mesma foi digitada com divergências, submetendo o auto a todo processo e validações novamente, a fim de garantir qualidade final da penalidade aplicada;</w:t>
      </w:r>
    </w:p>
    <w:p w14:paraId="109FDE1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14.31.19 O sistema deverá disponibilizar as imagens para convalidação em ordem crescente de data de infração, evitando atrasos e perda de prazo de processamento;</w:t>
      </w:r>
    </w:p>
    <w:p w14:paraId="6017268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14.31.20 As imagens validadas pelos agentes designados serão utilizadas para a elaboração das notificações de autuação e penalidade;</w:t>
      </w:r>
    </w:p>
    <w:p w14:paraId="732E595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14.31.21 O sistema deverá ter mecanismo que impossibilite a convalidação de autos de equipamentos eletrônicos de fiscalização, caso o equipamento não esteja devidamente cadastrado e aferido;</w:t>
      </w:r>
    </w:p>
    <w:p w14:paraId="54265D4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14.31.22 O sistema deverá validar as informações de data de aferição do equipamento com o cadastro, não permitindo a importação de registros de equipamentos não aferidos pelos órgãos responsáveis;</w:t>
      </w:r>
    </w:p>
    <w:p w14:paraId="5ED67F8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14.31.23 As imagens recebidas pelos equipamentos de fiscalização eletrônica deverão ser armazenadas pela CONTRATADA para efeito de análise e backup, com qualidade compatível e boa visualização, para ser impressa nas guias de notificações de autuação, e ainda, auxiliar a CONTRATANTE na disponibilização das informações para público;</w:t>
      </w:r>
    </w:p>
    <w:p w14:paraId="65E76A7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14.31.24 O sistema deve possuir funcionalidades de central de atendimento ao munícipe, facilitando o atendimento pessoalmente nos postos de atendimento da CONTRATANTE;</w:t>
      </w:r>
    </w:p>
    <w:p w14:paraId="79EBF37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14.31.25 O sistema deve conter funcionalidades para que a CONTRATANTE disponibilize um auto atendimento aos munícipes sem a necessidade de intervenção de um atendente;</w:t>
      </w:r>
    </w:p>
    <w:p w14:paraId="6BE87B8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14.31.26 Ferramentas que possibilitem a geração e impressão da 2ª via da notificação de advertência, campanha, autuação ou de penalidade, através de chaves específicas de consulta;</w:t>
      </w:r>
    </w:p>
    <w:p w14:paraId="50D75BE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14.31.27 O sistema deve permitir à CONTRATANTE a consulta rápida e eficiente via WEB dos autos de infrações com as suas respectivas imagens, AIT eletrônico, permitindo a impressão para fornecimento aos condutores infratores que solicitarem ou para instrução de processos administrativos de defesa da autuação e penalidade;</w:t>
      </w:r>
    </w:p>
    <w:p w14:paraId="70ECBA5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14.31.28 O sistema deve possuir funcionalidades para processamento das imagens em caráter de campanha educativa e informativa, sempre que necessário;</w:t>
      </w:r>
    </w:p>
    <w:p w14:paraId="44B5F2F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14.31.29 O sistema deve contar com uma parametrização de quantidades e período de data e equipamento para o processamento das infrações como campanha;</w:t>
      </w:r>
    </w:p>
    <w:p w14:paraId="13362F9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14.31.30 O sistema deve possuir parâmetros para permitir ou não a convalidação das imagens de campanha pela CONTRATANTE, em caso de liberar para convalidação, a estrutura de disponibilização das imagens deve seguir o padrão das imagens válidas e inválidas;</w:t>
      </w:r>
    </w:p>
    <w:p w14:paraId="20CD83F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14.31.31 As notificações deverão ser impressas com layout definido pela CONTRATANTE.</w:t>
      </w:r>
    </w:p>
    <w:p w14:paraId="074D2E3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14.32 Processamento das Infrações de Talonário Eletrônico e Multas Manuais</w:t>
      </w:r>
    </w:p>
    <w:p w14:paraId="36F3D63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 O sistema deve estar integrado para o processamento das imagens registradas através do equipamento eletrônico de fiscalização, autos preenchidos manualmente pelos agentes de trânsito e processamento das autuações registradas através de sistema de talonário eletrônico;</w:t>
      </w:r>
    </w:p>
    <w:p w14:paraId="436EDA9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 Possibilitar a transcrição completa dos dados das infrações geradas pelos agentes, utilizando a imagem dos autos digitalizados, garantindo a qualidade da digitação adotando procedimentos de verificação validando, no mínimo, as informações exigidas pela legislação vigente;</w:t>
      </w:r>
    </w:p>
    <w:p w14:paraId="0EC3E8E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 O sistema deve disponibilizar as imagens para transcrição e auditoria em ordem de data de infração, priorizando os prazos de processamento;</w:t>
      </w:r>
    </w:p>
    <w:p w14:paraId="0CCAEC4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 No momento da transcrição dos dados de auto de infração manual, o sistema deve permitir pular a imagem, caso o usuário esteja com dúvidas na análise, deixando a imagem com status de pendente até que seja possível a validação;</w:t>
      </w:r>
    </w:p>
    <w:p w14:paraId="5FD6BA5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 Permitir o controle e validação dos talões físicos de auto de infração manual que estão em estoque, os outorgados e os pendentes, mantendo a correlação do talão outorgado com o devido agente;</w:t>
      </w:r>
    </w:p>
    <w:p w14:paraId="4BB7093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14.32.6 Não permitir a transcrição dos dados do auto de infração manual que não tenham cadastrado no sistema o agente responsável pelo talão referente a autuação que está sendo digitada;</w:t>
      </w:r>
    </w:p>
    <w:p w14:paraId="47EAA2D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14.32.7 Rotinas para cadastramento, manutenção e controle dos talonários para multas manuais, sob a responsabilidade de cada agente fiscalizador, efetuando a validação da quantidade total dos autos de infrações, eliminando-se qualquer possibilidade que seja utilizado de forma irregular; </w:t>
      </w:r>
    </w:p>
    <w:p w14:paraId="0F75A34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14.32.8 Funcionalidade que permita a digitação dos dados do condutor no momento da autuação e quando isso ocorrer o sistema não pode permitir o cadastro de indicação de condutor posterior;</w:t>
      </w:r>
    </w:p>
    <w:p w14:paraId="2F05320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14.32.9 Possuir funcionalidade de auto-complete para os dados do local da infração, enquadramento e observação no momento da transcrição dos dados dos autos de infração manuais;</w:t>
      </w:r>
    </w:p>
    <w:p w14:paraId="755D3DE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14.32.10 Possuir funcionalidade para a auditoria dos dados dos autos de infração manuais correlacionando com os dados de veículo disponibilizados pelo RENAINF, que será executado por usuário designado da CONTRATADA, que poderá classificar em válidas ou inválidas, neste caso, motivando a invalidação;</w:t>
      </w:r>
    </w:p>
    <w:p w14:paraId="151E02A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14.32.11 Possuir funcionalidade para transcrição de autos de infração de pessoas físicas e jurídicas que cometeram infrações previstas no CTB sem a necessidade do veículo;</w:t>
      </w:r>
    </w:p>
    <w:p w14:paraId="3B58417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14.32.12 Permitir o processamento de autos efetuados através do talonário eletrônico, independentemente do fabricante;</w:t>
      </w:r>
    </w:p>
    <w:p w14:paraId="43D5588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14.32.13 Possuir funcionalidade de auditoria dos autos efetuados pelos talonários eletrônicos, podendo ser classificados como válidas e inválidas por usuário designado pela CONTRATADA;</w:t>
      </w:r>
    </w:p>
    <w:p w14:paraId="6AB270D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14.32.14 A tela de validação das infrações deve permitir a visualização das informações, da imagem da filipeta gerada, e se disponível, de pelo menos três imagens comprobatórias;</w:t>
      </w:r>
    </w:p>
    <w:p w14:paraId="5A9F9F4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14.32.15 O sistema deve possuir ferramentas para o tratamento de pelo menos uma das imagens comprobatórias classificada como válida, permitindo o tratamento de recortes das imagens, recorte de placas e obliteração, as quais deverão ser impressas na notificação.</w:t>
      </w:r>
    </w:p>
    <w:p w14:paraId="38AD4E7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14.32.16 O sistema deverá permitir o confronto das informações digitadas pelo agente de trânsito no momento da infração com as informações retornadas do órgão responsável;</w:t>
      </w:r>
    </w:p>
    <w:p w14:paraId="6BA7FA8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14.32.17 O sistema deverá disponibilizar as infrações para validação em ordem crescente de data de infração, evitando atrasos e perda de prazo de processamento;</w:t>
      </w:r>
    </w:p>
    <w:p w14:paraId="2642077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14.32.18 As infrações validadas pelos agentes designados serão utilizadas para a elaboração das notificações da autuação e penalidade;</w:t>
      </w:r>
    </w:p>
    <w:p w14:paraId="4E247F7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14.32.19 O sistema deverá ter mecanismo que impossibilite a validação caso o agente que lavrou o auto não esteja devidamente cadastrado;</w:t>
      </w:r>
    </w:p>
    <w:p w14:paraId="693C183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14.32.20 As imagens recebidas pelos talonários eletrônicos deverão ser armazenadas pela CONTRATADA para efeito de análise e backup, com qualidade compatível e boa visualização, para ser impressa nas guias de notificações de autuação, e ainda, auxiliar a CONTRATANTE na disponibilização das informações para público;</w:t>
      </w:r>
    </w:p>
    <w:p w14:paraId="417A7B4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14.32.21 O sistema deverá permitir a identificação visual da marca, modelo e placa do veículo infrator, de modo a configurar-se um auto de infração de Trânsito (AIT), conforme estabelecido pelo CTB e resoluções posteriores;</w:t>
      </w:r>
    </w:p>
    <w:p w14:paraId="12D7551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14.32.22 O sistema deve ter uma funcionalidade de pesquisa de placas na tela de convalidação dos agentes, trazendo as informações dos veículos registrados em banco de dados, facilitando a validação de marca e modelo;</w:t>
      </w:r>
    </w:p>
    <w:p w14:paraId="69E7289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14.32.23 Possuir funcionalidade de re-digitar a placa caso constate na convalidação que a mesma foi digitada com divergências, submetendo o auto a todo processo e validações novamente, a fim de garantir qualidade final da penalidade aplicada;</w:t>
      </w:r>
    </w:p>
    <w:p w14:paraId="640D2AA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14.32.24 Possuir rotinas para geração da notificação de autuação, apenas para autuações com retorno correto do RENAINF, permitindo a geração do arquivo para impressão remota ou mecanismo que possibilite a impressão local e com tempo hábil para que a autoridade de trânsito venha a exercer a opção de aplicar a penalidade de advertência, conforme termos da lei;</w:t>
      </w:r>
    </w:p>
    <w:p w14:paraId="6829536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14.32.25 O sistema deverá possuir rotinas para geração e envio automatizado, através de protocolo de transferência de arquivos, dos arquivos de notificação de advertência, autuação e da penalidade, sem nenhuma intervenção do usuário;</w:t>
      </w:r>
    </w:p>
    <w:p w14:paraId="14718C5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14.32.26 O sistema deverá permitir a impressão das notificações contendo no mínimo dos dados previstos na legislação vigente, dentro do layout previamente definido pela CONTRATANTE;</w:t>
      </w:r>
    </w:p>
    <w:p w14:paraId="6322552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14.32.27 O sistema deverá possuir rotinas para cadastro das autuações que deverão ser convertidas em advertência, de acordo com análise do prontuário do infrator, pela autoridade de trânsito;</w:t>
      </w:r>
    </w:p>
    <w:p w14:paraId="372987B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14.32.28 Rotina para geração da notificação de penalidade, contendo o documento arrecadável bancário nos padrões da FEBRABAN e do RENAINF;</w:t>
      </w:r>
    </w:p>
    <w:p w14:paraId="4F4778E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14.32.29 O sistema deverá possuir rotinas de consistência para emissão das notificações de penalidade, permitindo a conversão apenas para autos já notificados, sem recurso de defesa de autuação e sem conversão de advertência. Permitir a geração do arquivo para impressão remota ou mecanismo que possibilite a impressão local;</w:t>
      </w:r>
    </w:p>
    <w:p w14:paraId="03F6FDF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14.32.30 Ferramentas que possibilitem a geração da 2ª via da notificação de advertência, autuação ou de penalidade, através de chaves específicas de consulta;</w:t>
      </w:r>
    </w:p>
    <w:p w14:paraId="35795C0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14.32.31 O sistema deverá permitir a conversão da autuação em penalidade, quando da solicitação do infrator, para antecipação do pagamento, mesmo que a notificação de autuação ainda não tenha sido gerada;</w:t>
      </w:r>
    </w:p>
    <w:p w14:paraId="0BCC189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14.32.32 Mecanismo que permita ao proprietário do veículo autuado, ao receber a notificação, exercer o direito de indicar o infrator responsável pela infração notificada;</w:t>
      </w:r>
    </w:p>
    <w:p w14:paraId="2FD90EF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14.32.33 Controle de expedição atendendo as exigências do CTB, através de relações de carga e/ou arquivo auxiliar de postagem para os correios;</w:t>
      </w:r>
    </w:p>
    <w:p w14:paraId="3520AC1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14.32.34 Funcionalidades para cadastro das expedições, por arquivo de lote, permitindo o cadastro do código de envio do correio;</w:t>
      </w:r>
    </w:p>
    <w:p w14:paraId="4177DB2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14.32.35 Ferramentas para assessorar a Autoridade de Trânsito, na publicação das notificações geradas em diário oficial, do Estado ou Município;</w:t>
      </w:r>
    </w:p>
    <w:p w14:paraId="2E205D3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14.32.36 Ferramentas que possibilitem a geração da notificação de autuação e de penalidade, por não indicação do condutor do veículo de propriedade de pessoa jurídica – NIC, conforme Resolução vigente;</w:t>
      </w:r>
    </w:p>
    <w:p w14:paraId="2AA4B0D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14.32.37 Funcionalidade para geração e impressão de código de barras, na parte interna e externa das notificações, contendo informações do número do auto, lote e outras informações pertinentes;</w:t>
      </w:r>
    </w:p>
    <w:p w14:paraId="0B21FCB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14.32.38 A CONTRATADA poderá utilizar serviços de terceiros para impressão das notificações, desde que garanta que o terceirizado não tenha acesso de alteração no layout das notificações assim como nos dados de impressão;</w:t>
      </w:r>
    </w:p>
    <w:p w14:paraId="31E961B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14.32.39 Sistema deve possuir mecanismo para cadastro das datas de postagem para registros onde a notificação foi gerada e enviada aos correios;</w:t>
      </w:r>
    </w:p>
    <w:p w14:paraId="61572DE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14.32.40 Cadastro de código interno ou dos correios que caracterize a postagem realizada;</w:t>
      </w:r>
    </w:p>
    <w:p w14:paraId="6889EBF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14.32.41 Rotinas para cadastrar as notificações devolvidas com o motivo de devolução;</w:t>
      </w:r>
    </w:p>
    <w:p w14:paraId="0E2F0B4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14.32.42 Possuir relatórios comprobatórios de postagem e devolução para requerente de recursos e JARI;</w:t>
      </w:r>
    </w:p>
    <w:p w14:paraId="3DD139E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14.32.43 Funcionalidade para importação automática, sem intervenção do usuário, dos arquivos de pagamentos originados por boletos bancários ou pelos órgãos recebedores (Secretaria da Fazenda, DETRAN, Instituição Financeira de Cartão de Crédito);</w:t>
      </w:r>
    </w:p>
    <w:p w14:paraId="1EA71DD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14.32.44 Rotinas para controle de pagamentos duplicados, com datas de crédito divergentes ou de valor inferior ao existente, mantendo o saldo devedor em aberto no sistema, provendo de relatórios para efetuar a cobrança dessas diferenças. O sistema deve manter as divergências com status de pendente para validação de usuário designado da CONTRATANTE;</w:t>
      </w:r>
    </w:p>
    <w:p w14:paraId="0C30D9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14.32.45 Possuir rotinas para fechamento da Conciliação Bancária, não permitindo a entrada de dados financeiros uma vez que a Conciliação foi validada e aprovada pelo Financeiro;</w:t>
      </w:r>
    </w:p>
    <w:p w14:paraId="49239AF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14.32.46 Possuir funcionalidade de cobrança e controle dos pagamentos de multas de veículos licenciados em outros estados, através do Arquivo REPASSE;</w:t>
      </w:r>
    </w:p>
    <w:p w14:paraId="75FC530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14.32.47 Rotinas para geração do arquivo de prestação de informações a respeito dos 5% (cinco por cento) dos valores arrecadados das multas de trânsito destinados à conta do FUNSET, atendendo a legislação vigente;</w:t>
      </w:r>
    </w:p>
    <w:p w14:paraId="6C0A7CA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14.32.48 Para geração de 2ª via de boletos com débitos já vencidos, o sistema deverá calcular os juros de mora equivalentes à taxa referencial do Sistema Especial de liquidação e de Custódia (Selic), conforme disciplinado pela Resolução vigente;</w:t>
      </w:r>
    </w:p>
    <w:p w14:paraId="695CDA3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14.32.49 Permitir a geração das informações de multas vencidas e não pagas com tramitação automática para setor de procuradoria fazer a inclusão na dívida ativa;</w:t>
      </w:r>
    </w:p>
    <w:p w14:paraId="2A2CA88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14.32.50 Controle para as indicações de condutor processadas, com divergência e rejeitadas pelo RENAINF;</w:t>
      </w:r>
    </w:p>
    <w:p w14:paraId="0E4A2B7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14.32.51 O sistema deverá contemplar todas as funcionalidades de RENAINF, suas transações e informações complementares, conforme disposto no manual do RENAINF e suas versões;</w:t>
      </w:r>
    </w:p>
    <w:p w14:paraId="4E73628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14.32.52 O sistema deverá atender aos requisitos do SNE, conforme manual disponibilizado pelo SERPRO;</w:t>
      </w:r>
    </w:p>
    <w:p w14:paraId="3B98BD0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14.32.53 O sistema deverá registrar todas as transações enviadas e seus retornos, com o devido tratamento dos retornos com erro;</w:t>
      </w:r>
    </w:p>
    <w:p w14:paraId="6D97738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14.32.54 O sistema deverá disponibilizar através de consulta à tramitação das transações;</w:t>
      </w:r>
    </w:p>
    <w:p w14:paraId="6638DE2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14.32.55 Possuir rotinas adequadas para o controle do Arquivo INFORMATIVO, considerando a importação e tratamento de todas as transações recebidas no arquivo;</w:t>
      </w:r>
    </w:p>
    <w:p w14:paraId="2EAFA12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14.32.56 Tratamento das informações do arquivo REPASSE, tratando os erros ou cancelamentos pelo RENAINF e efetuando o acompanhamento da cobrança e baixas de pagamento do órgão devedor;</w:t>
      </w:r>
    </w:p>
    <w:p w14:paraId="22C5982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14.32.57 Permitir a integração dos sistemas da CONTRATADA com o Órgão Responsável, interligando as aplicações de forma a se comunicarem através de WEB Service automatizando o recebimento das informações;</w:t>
      </w:r>
    </w:p>
    <w:p w14:paraId="116BD5B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14.32.58 O sistema deverá possuir rotinas automatizadas para geração, envio, recebimento e processamento das informações, sem nenhuma intervenção do usuário, podendo ser através de arquivos digitais ou utilizando serviços de rotinas que possibilitem a integração eletrônica com o sistema do órgão estadual de trânsito, disponibilizando e receptando arquivos auxiliares para o processamento das infrações, pontuação, bloqueio, desbloqueio e atualização das tabelas existentes;</w:t>
      </w:r>
    </w:p>
    <w:p w14:paraId="70F3498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14.32.59 Mecanismo para efetuar a inclusão de multas no banco de dados do órgão estadual de trânsito, daquelas notificadas, vencidas e ainda não recebidas;</w:t>
      </w:r>
    </w:p>
    <w:p w14:paraId="40590E7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14.32.60 Mecanismo para efetuar a exclusão de multas do banco de dados do órgão estadual de trânsito, em decorrência do recebimento das mesmas ou do cancelamento decorrente de deferimento de recurso;</w:t>
      </w:r>
    </w:p>
    <w:p w14:paraId="338CFB9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14.32.61 O sistema deve possuir funcionalidades de central de atendimento ao munícipe, facilitando o atendimento pessoalmente nos postos de atendimento da CONTRATANTE;</w:t>
      </w:r>
    </w:p>
    <w:p w14:paraId="429DB71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14.32.62 O sistema deve conter funcionalidades para que a CONTRATANTE disponibilize um auto atendimento aos munícipes sem a necessidade de intervenção de um atendente.</w:t>
      </w:r>
    </w:p>
    <w:p w14:paraId="3784B269">
      <w:pPr>
        <w:jc w:val="both"/>
      </w:pPr>
    </w:p>
    <w:p w14:paraId="78BD389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14.33 Sistema de integração com DETRAN, órgãos responsáveis e sistemas internos</w:t>
      </w:r>
      <w:r>
        <w:rPr>
          <w:b/>
          <w:bCs/>
          <w:color w:val="000000"/>
        </w:rPr>
        <w:br w:type="textWrapping"/>
      </w:r>
    </w:p>
    <w:p w14:paraId="0E2FE50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14.33.1 A CONTRATADA terá o prazo máximo de 03 (três) dias corridos após a validação dos agentes para a geração e processamento dos registros junto ao DETRAN;</w:t>
      </w:r>
    </w:p>
    <w:p w14:paraId="5E71E2A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14.33.2 O sistema deve gerar os arquivos de tramitação de informações, nos formatos TXT e JSON, conforme layout definido pelo órgão responsável;</w:t>
      </w:r>
    </w:p>
    <w:p w14:paraId="5210375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14.33.3 A CONTRATADA deve disponibilizar os arquivos gerados via File Transfer Protocol para o órgão responsável;</w:t>
      </w:r>
    </w:p>
    <w:p w14:paraId="53270FC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14.33.4 O sistema deverá possuir rotinas para geração, envio e retorno automatizado, através do File Transfer Protocol, dos arquivos de notificação de campanha, advertência, autuação, penalidade e resultado de processos sem nenhuma intervenção do usuário;</w:t>
      </w:r>
    </w:p>
    <w:p w14:paraId="1C95B1C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14.33.5 O sistema deve estar preparado para processar e atualizar o banco de dados com as informações retornadas pelo órgão responsável;</w:t>
      </w:r>
    </w:p>
    <w:p w14:paraId="35D18FE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14.33.6 Para os veículos registrados no SNE, o sistema deve gerar os lotes contendo os registros e imagens no formato JSON, contendo no máximo 300(trezentos) registros;</w:t>
      </w:r>
    </w:p>
    <w:p w14:paraId="438B949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14.33.7 O sistema deve permitir a parametrização da quantidade de infrações na geração dos lotes;</w:t>
      </w:r>
    </w:p>
    <w:p w14:paraId="5CD0841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14.34 Sistema On-line de Atendimento ao Público</w:t>
      </w:r>
    </w:p>
    <w:p w14:paraId="4667CC9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14.34.1 A aplicação deverá ficar alocada nos servidores da CONTRATADA, desde que contemple a segurança necessária descritas no início desse termo;</w:t>
      </w:r>
    </w:p>
    <w:p w14:paraId="1720376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14.34.2 O sistema deve possuir certificação TLS;</w:t>
      </w:r>
    </w:p>
    <w:p w14:paraId="49F9A0D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14.34.3 Mecanismo para consulta via WEB, onde o munícipe possa acompanhar os processos do seu auto de infração, sem a intervenção de um funcionário da contratante, adiantando os procedimentos previstos por lei;</w:t>
      </w:r>
    </w:p>
    <w:p w14:paraId="089C23B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14.34.4 Funcionalidade que permita ao munícipe o envio de imagens digitalizadas, referente a solicitação de processos, indicação de condutor ou outros documentos solicitados;</w:t>
      </w:r>
    </w:p>
    <w:p w14:paraId="6912BB2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14.34.5 Ferramentas para disponibilizar posição atual das multas de um dado veículo, através de chaves de pesquisa definidas pela contratante;</w:t>
      </w:r>
    </w:p>
    <w:p w14:paraId="0EA2D6A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14.34.6 O sistema deverá possuir a funcionalidade de reCaptcha, obrigando o munícipe a identificar e digitar a sequência de dígitos que apareça na tela, garantindo a segurança contra invasões;</w:t>
      </w:r>
    </w:p>
    <w:p w14:paraId="1811BEC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14.34.7 O gerador de reCaptcha deverá possuir funções de gerar os dígitos em áudio ou regerar manualmente se o usuário estiver com dificuldades de entender;</w:t>
      </w:r>
    </w:p>
    <w:p w14:paraId="7BD19B2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14.34.8 Ferramentas para disponibilizar informações sobre a situação do andamento de processos e de recursos interpostos junto a JARI;</w:t>
      </w:r>
    </w:p>
    <w:p w14:paraId="333A41D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14.34.9 Disponibilidade das informações das autuações registradas, com respectivos status;</w:t>
      </w:r>
    </w:p>
    <w:p w14:paraId="5CFBEB8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14.34.10 Disponibilidade de emissão da 2ª via da notificação de advertência, notificação da autuação e notificação de penalidade;</w:t>
      </w:r>
    </w:p>
    <w:p w14:paraId="47879CD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14.34.11 Disponibilidade de emissão de formulários para indicação de condutor e processos, podendo ser impressos com os dados que foram preenchidos;</w:t>
      </w:r>
    </w:p>
    <w:p w14:paraId="3899D00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14.34.12 Disponibilidade de emissão da 2ª via do protocolo de entrega da indicação do condutor e da interposição de processos;</w:t>
      </w:r>
    </w:p>
    <w:p w14:paraId="7FCEA58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14.34.13 O sistema deverá permitir a publicação das infrações postadas com as devidas orientações dos procedimentos previstos na resolução vigente, para constatação da emissão e postagem das autuações;</w:t>
      </w:r>
    </w:p>
    <w:p w14:paraId="35B06DEE">
      <w:pPr>
        <w:spacing w:line="240" w:lineRule="auto"/>
        <w:ind w:left="2160"/>
        <w:jc w:val="both"/>
      </w:pPr>
    </w:p>
    <w:p w14:paraId="4C76071F">
      <w:pPr>
        <w:jc w:val="both"/>
        <w:rPr>
          <w:b/>
        </w:rPr>
      </w:pPr>
      <w:r>
        <w:rPr>
          <w:b/>
          <w:bCs/>
          <w:color w:val="000000"/>
        </w:rPr>
        <w:t>14</w:t>
      </w:r>
      <w:r>
        <w:rPr>
          <w:b/>
          <w:bCs/>
        </w:rPr>
        <w:t>.35</w:t>
      </w:r>
      <w:r>
        <w:rPr>
          <w:b/>
        </w:rPr>
        <w:t xml:space="preserve"> GERENCIAMENTO DE PROCESSOS ADMINISTRATIVOS E APOIO A JARI</w:t>
      </w:r>
    </w:p>
    <w:p w14:paraId="66FC0AEC">
      <w:pPr>
        <w:jc w:val="both"/>
        <w:rPr>
          <w:b/>
        </w:rPr>
      </w:pPr>
    </w:p>
    <w:p w14:paraId="6E3BF7B1">
      <w:pPr>
        <w:jc w:val="both"/>
        <w:rPr>
          <w:b/>
        </w:rPr>
      </w:pPr>
      <w:r>
        <w:rPr>
          <w:b/>
          <w:bCs/>
          <w:color w:val="000000"/>
        </w:rPr>
        <w:t>14</w:t>
      </w:r>
      <w:r>
        <w:rPr>
          <w:b/>
          <w:bCs/>
        </w:rPr>
        <w:t>.35.1 Controle</w:t>
      </w:r>
      <w:r>
        <w:rPr>
          <w:b/>
        </w:rPr>
        <w:t xml:space="preserve"> de processos da Autoridade de Trânsito e apoio ao julgamento.</w:t>
      </w:r>
    </w:p>
    <w:p w14:paraId="0D9A3A1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 O sistema deve ter ferramentas para que o munícipe faça a solicitação do processo via internet, através de site disponibilizado no site da Prefeitura.</w:t>
      </w:r>
    </w:p>
    <w:p w14:paraId="70B3305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 O sistema deve permitir a emissão de protocolo ou resultado, liberando os requerentes de forma rápida e organizada;</w:t>
      </w:r>
    </w:p>
    <w:p w14:paraId="255244F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14.35.1.3 Possuir acesso ao sistema de central de atendimento, disponibilizando apenas as funções liberadas para o auto pesquisado;</w:t>
      </w:r>
    </w:p>
    <w:p w14:paraId="602D473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14.35.1.4 Rotinas para cadastro das informações preliminares;</w:t>
      </w:r>
    </w:p>
    <w:p w14:paraId="4411263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14.35.1.5 Possibilitar a integração com os outros sistemas de gerenciamento descritos neste anexo para obter as informações requeridas no registro do processo como mecanismo para diminuir o tempo gasto na digitação dos dados;</w:t>
      </w:r>
    </w:p>
    <w:p w14:paraId="60F4497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14.35.1.6 Permitir a importação dos documentos que compõem a pasta de processos, diminuindo a movimentação de documentos originais;</w:t>
      </w:r>
    </w:p>
    <w:p w14:paraId="16B38EF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14.35.1.7 Permitir a importação das imagens já digitalizadas em outro software concatenando com as informações pertinentes;</w:t>
      </w:r>
    </w:p>
    <w:p w14:paraId="01802B5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14.35.1.8 Permitir a classificação dos documentos digitalizados ou importados, para localização posterior;</w:t>
      </w:r>
    </w:p>
    <w:p w14:paraId="2D0B766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14.35.1.9 Mecanismos para visualizar os documentos armazenados nos processos, utilizando chaves de pesquisa específicas;</w:t>
      </w:r>
    </w:p>
    <w:p w14:paraId="2BC955E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14.35.1.10 Rotinas para controle de Juntas de Julgamento de defesa de autuação;</w:t>
      </w:r>
    </w:p>
    <w:p w14:paraId="65F1957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14.35.1.11 Possuir configurações que possibilitem a avaliação individual do processo ou avaliação colaborativa, permitindo um melhor fluxo de avaliação dos processos;</w:t>
      </w:r>
    </w:p>
    <w:p w14:paraId="0000A35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14.35.1.12 Funcionalidades que permitam aos membros visualizarem todas as informações, diligências, pareceres iniciais e demais documentos necessários para avaliação dos processos;</w:t>
      </w:r>
    </w:p>
    <w:p w14:paraId="3386B79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14.35.1.13 Mecanismo que possibilite o registro de diligências;</w:t>
      </w:r>
    </w:p>
    <w:p w14:paraId="523EE3A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14.35.1.14 Deverá possuir rotinas para cadastro dos dados da Autoridade de Trânsito;</w:t>
      </w:r>
    </w:p>
    <w:p w14:paraId="51B0F26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14.35.1.15 Possuir rotinas para cadastro da solicitação da Defesa, não permitindo o cadastro de autos que tenham outros processos em aberto;</w:t>
      </w:r>
    </w:p>
    <w:p w14:paraId="0C4F7C9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14.35.1.16 Funcionalidades para recebimento e controle dos documentos digitais de processos enviados pelo canal de atendimento on-line;</w:t>
      </w:r>
    </w:p>
    <w:p w14:paraId="606B37F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14.35.1.17 Rotinas para registrar, controlar e efetuar a manutenção da tramitação dos processos de multa;</w:t>
      </w:r>
    </w:p>
    <w:p w14:paraId="0C4E144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14.35.1.18 Possuir rotinas para controle do prazo de julgamento, disparando avisos automáticos aos usuários responsáveis;</w:t>
      </w:r>
    </w:p>
    <w:p w14:paraId="2A6BFD8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14.35.1.19 O sistema deverá possuir na tela inicial um controle de quantidade de processos a serem julgados por tipo;</w:t>
      </w:r>
    </w:p>
    <w:p w14:paraId="0BEAA7F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14.35.1.20 O sistema deverá possuir ferramentas para pré cadastro das informações de alegação e fundamentação, facilitando a descrição pelos analistas de processos.</w:t>
      </w:r>
    </w:p>
    <w:p w14:paraId="443AB33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14.35.1.21 Possuir funcionalidade que permita aos usuários da CONTRATANTE aprovar a pré análise, reprovar ou solicitar revisão;</w:t>
      </w:r>
    </w:p>
    <w:p w14:paraId="1AF9B12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14.35.1.22 Para referendar a pré análise dos processos de defesa de autuação, a autoridade poderá designar usuários que podem referendar os processos individualmente ou por lotes de amostragem;</w:t>
      </w:r>
    </w:p>
    <w:p w14:paraId="780CED4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14.35.1.23 O sistema deverá disponibilizar os processos que já foram auditados para aprovação da autoridade de trânsito, que poderá aprovar e assinar o processo ou voltar para reanálise.</w:t>
      </w:r>
    </w:p>
    <w:p w14:paraId="22F839D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14.35.1.24 Permitir a assinatura digital pela autoridade de trânsito para os processos julgados e com resultado.</w:t>
      </w:r>
    </w:p>
    <w:p w14:paraId="27CF3CE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14.35.1.25 Cadastramento, manutenção dos resultados dos julgamentos e emissão da notificação de resultado, permitindo a geração automática do arquivo para impressão remota ou local;</w:t>
      </w:r>
    </w:p>
    <w:p w14:paraId="546131C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14.35.1.26 Mecanismo para emissão da 2ª via da notificação de resultado.</w:t>
      </w:r>
    </w:p>
    <w:p w14:paraId="2FC08048">
      <w:pPr>
        <w:ind w:left="720"/>
        <w:jc w:val="both"/>
      </w:pPr>
    </w:p>
    <w:p w14:paraId="070618D6">
      <w:pPr>
        <w:jc w:val="both"/>
        <w:rPr>
          <w:b/>
        </w:rPr>
      </w:pPr>
      <w:r>
        <w:rPr>
          <w:b/>
          <w:bCs/>
          <w:color w:val="000000"/>
        </w:rPr>
        <w:t>14</w:t>
      </w:r>
      <w:r>
        <w:rPr>
          <w:b/>
          <w:bCs/>
        </w:rPr>
        <w:t>.35.2 Controle</w:t>
      </w:r>
      <w:r>
        <w:rPr>
          <w:b/>
        </w:rPr>
        <w:t xml:space="preserve"> de processos de 1ª e 2ª Instância e Apoio a JARI</w:t>
      </w:r>
    </w:p>
    <w:p w14:paraId="0FF3729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 O sistema deverá ter como funcionalidade inicial a pré análise dos processos que tiveram os documentos digitalizados, que será de responsabilidade da CONTRATADA; e ainda possuir mecanismos para que a pré análise seja efetuada mesmo que o processo não contenha um arquivo digital;</w:t>
      </w:r>
    </w:p>
    <w:p w14:paraId="097F716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14.35.2.2 Possuir funcionalidade de upload dos documentos digitalizados que compõem a pasta de processos, diminuindo a movimentação de documentos originais, concatenando o arquivo digital com a devida infração;</w:t>
      </w:r>
    </w:p>
    <w:p w14:paraId="792D795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14.35.2.3 Todos os processados pré analisados pela CONTRATADA deverão ser referendados por usuário designado pela CONTRATANTE;</w:t>
      </w:r>
    </w:p>
    <w:p w14:paraId="6095F0E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14.35.2.4 Para referendar a pré análise dos processos de 1ª Instância, o sistema deverá contar com um controle de JARI, que deverá funcionar com distribuição automática dos processos entre os participantes da sessão de julgamento; considerando que a distribuição dos processos seja feita em ordem cronológica da interposição do recurso;</w:t>
      </w:r>
    </w:p>
    <w:p w14:paraId="73479B2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14.35.2.5 Possuir funcionalidade para controle de quantas JARIs forem necessárias, vinculando a cada uma a sessão correspondente, assim como os recursos que foram julgados;</w:t>
      </w:r>
    </w:p>
    <w:p w14:paraId="1D18A4E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14.35.2.6 Possuir funcionalidade para que cada membro da JARI inclua sua decisão do julgamento, que pode ser deferido, indeferido, diligência ou deferido pela JARI em análise da autoridade de trânsito;</w:t>
      </w:r>
    </w:p>
    <w:p w14:paraId="557A00B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14.35.2.7 Permitir que os membros da JARI façam alterações nas alegações e fundamentações cadastradas na pré análise;</w:t>
      </w:r>
    </w:p>
    <w:p w14:paraId="447A301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14.35.2.8 Possuir configurações que possibilite a avaliação individual do processo ou avaliação colaborativa, permitindo um melhor fluxo de avaliação dos recursos;</w:t>
      </w:r>
    </w:p>
    <w:p w14:paraId="1E92CFE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14.35.2.9 O sistema deve contar com uma parametrização que permita que o resultado seja automatizado considerando a quantidade de membros julgadores e suas decisões ou que seja manual conforme validação do Presidente da JARI;</w:t>
      </w:r>
    </w:p>
    <w:p w14:paraId="013D73B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14.35.2.10 Funcionalidades que permita aos membros visualizarem todas as informações, diligências, pareceres iniciais e demais documentos necessários para avaliação dos processos de forma automatizada;</w:t>
      </w:r>
    </w:p>
    <w:p w14:paraId="2D8D9EF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14.35.2.11 Possibilitar a parametrização de permissão para visualização da decisão do julgamento de outros membros da sessão;</w:t>
      </w:r>
    </w:p>
    <w:p w14:paraId="2D18D90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14.35.2.12 Possuir controle de sessão, podendo escolher o membro e seu cargo no momento da abertura da sessão;</w:t>
      </w:r>
    </w:p>
    <w:p w14:paraId="2D4BB33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14.35.2.13 Permitir o controle de relatores para cada processo, emitindo a ata da sessão de julgamento, com parametrização de assinatura digital dos integrantes da sessão, apenas para sessões encerradas;</w:t>
      </w:r>
    </w:p>
    <w:p w14:paraId="4C26D48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14.35.2.14 Funcionalidades para recebimento e controle dos documentos digitais de recurso enviados pelo canal de atendimento on-line;</w:t>
      </w:r>
    </w:p>
    <w:p w14:paraId="08B4203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14.35.2.15 Possuir rotinas para controle do prazo de julgamento, disparando avisos automáticos aos usuários responsáveis;</w:t>
      </w:r>
    </w:p>
    <w:p w14:paraId="0143AB3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14.35.2.16 Ferramentas de auditoria para cancelamento das penalidades aplicadas em consequência de deferimento protelado pela Junta Administrativa de Recursos de Infrações;</w:t>
      </w:r>
    </w:p>
    <w:p w14:paraId="1C0BB49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14.35.2.17 Mecanismos para emissão da notificação de resultado, permitindo a geração automática do arquivo para impressão remota ou local;</w:t>
      </w:r>
    </w:p>
    <w:p w14:paraId="081C08B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14.35.2.18 Possuir rotinas de controle de tramitação dos processos de recurso em 2ª instância, gerando protocolo de envio para o CETRAN e controle de retorno.</w:t>
      </w:r>
    </w:p>
    <w:p w14:paraId="0721F1D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p>
    <w:p w14:paraId="11F51972">
      <w:pPr>
        <w:spacing w:line="240" w:lineRule="auto"/>
        <w:jc w:val="both"/>
        <w:rPr>
          <w:b/>
          <w:bCs/>
        </w:rPr>
      </w:pPr>
      <w:r>
        <w:rPr>
          <w:b/>
          <w:bCs/>
          <w:color w:val="000000"/>
        </w:rPr>
        <w:t>14</w:t>
      </w:r>
      <w:r>
        <w:rPr>
          <w:b/>
          <w:bCs/>
        </w:rPr>
        <w:t>.36 GERAÇÃO DE ARQUIVOS DAS INFRAÇÕES VÁLIDAS E IMPRESSÃO DAS NOTIFICAÇÕES.</w:t>
      </w:r>
    </w:p>
    <w:p w14:paraId="02DDE503">
      <w:pPr>
        <w:spacing w:line="240" w:lineRule="auto"/>
        <w:jc w:val="both"/>
        <w:rPr>
          <w:b/>
        </w:rPr>
      </w:pPr>
    </w:p>
    <w:p w14:paraId="15A75938">
      <w:pPr>
        <w:spacing w:line="240" w:lineRule="auto"/>
        <w:jc w:val="both"/>
        <w:rPr>
          <w:b/>
        </w:rPr>
      </w:pPr>
      <w:r>
        <w:rPr>
          <w:b/>
        </w:rPr>
        <w:t>Geração dos arquivos de impressão das notificações</w:t>
      </w:r>
    </w:p>
    <w:p w14:paraId="5016648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 Possuir rotinas para geração da notificação de campanha e autuação, apenas para infrações com retorno correto do órgão responsável, permitindo a geração do arquivo para impressão remota ou mecanismo que possibilite a impressão local e com tempo hábil para que a autoridade de trânsito venha a exercer a opção de aplicar a penalidade de advertência, conforme termos da lei;</w:t>
      </w:r>
    </w:p>
    <w:p w14:paraId="061A8B5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14.36.2 Possuir rotinas para geração da notificação de penalidade, apenas para infrações com retorno correto do órgão responsável, permitindo a geração do arquivo para impressão remota ou mecanismo que possibilite a impressão local e com tempo hábil para que o munícipe tenha o direito de protocolar os processos necessários, conforme termos da lei;</w:t>
      </w:r>
    </w:p>
    <w:p w14:paraId="435F963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14.36.3 O sistema deverá permitir a impressão das notificações contendo no mínimo os dados previstos na legislação vigente, dentro do layout previamente definido pela CONTRATANTE;</w:t>
      </w:r>
    </w:p>
    <w:p w14:paraId="4511A1A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14.36.4 A CONTRATADA deverá imprimir e envelopar as Notificações de Autuações (NA), Penalidades (NP), Resultados de Processos, Advertências e Campanha Educativa, conforme layout estabelecido pela CONTRATANTE;</w:t>
      </w:r>
    </w:p>
    <w:p w14:paraId="5072706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14.36.5 Os lotes impressos devem ser entregues para CONTRATANTE em até três dias corridos após o retorno dos dados pelo órgão responsável, separados por tipo de infração, conforme definido pelo órgão;</w:t>
      </w:r>
    </w:p>
    <w:p w14:paraId="51502F1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14.36.6 Juntamente com o lote, deve ser entregue impresso um relatório de listagem de postagem para controle dos correios;</w:t>
      </w:r>
    </w:p>
    <w:p w14:paraId="0C2B33E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14.36.7 O sistema deverá possuir rotinas de consistência para emissão das notificações de penalidade. Permitir a geração do arquivo para impressão remota ou mecanismo que possibilite a impressão local;</w:t>
      </w:r>
    </w:p>
    <w:p w14:paraId="70725D9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14.36.8 A CONTRATANTE poderá emitir o arquivo no layout de impressão de acordo com os serviços do Correio.</w:t>
      </w:r>
    </w:p>
    <w:p w14:paraId="6E7D205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14.36.9 Ferramentas que possibilitem a geração da 2ª via da notificação de advertência, campanha, resultado de processos, autuação ou de penalidade, através de chaves específicas de consulta;</w:t>
      </w:r>
    </w:p>
    <w:p w14:paraId="514E127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14.36.10 Controle de expedição atendendo as exigências do CTB, através de relações de carga e/ou arquivo auxiliar de postagem para os correios;</w:t>
      </w:r>
    </w:p>
    <w:p w14:paraId="3B26C12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14.36.11 Funcionalidades para cadastro das expedições, por arquivo de lote, permitindo o cadastro do código de envio do correio;</w:t>
      </w:r>
    </w:p>
    <w:p w14:paraId="58CE082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14.36.12 Ferramentas para assessorar a Autoridade de Trânsito, na publicação das notificações geradas em diário oficial, do Estado ou Município;</w:t>
      </w:r>
    </w:p>
    <w:p w14:paraId="731AD4F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14.36.13 O sistema deve possuir mecanismo para cadastro das datas de postagem para registros onde a notificação foi gerada e enviada aos correios;</w:t>
      </w:r>
    </w:p>
    <w:p w14:paraId="6768248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14.36.14 Cadastro de código interno ou dos correios que caracterize a postagem realizada;</w:t>
      </w:r>
    </w:p>
    <w:p w14:paraId="214E160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14.36.15 Rotinas para cadastrar as notificações devolvidas com o motivo de devolução;</w:t>
      </w:r>
    </w:p>
    <w:p w14:paraId="4BAED85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14.36.16 O sistema deverá possuir funcionalidades para integração ao SNE, e controlar as notificações que não deverão ser impressas.</w:t>
      </w:r>
    </w:p>
    <w:p w14:paraId="159662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14.36.17 Gerar relatórios das notificações que foram postadas eletronicamente através do SNE, a fim de comparar com a fatura do SERPRO.</w:t>
      </w:r>
    </w:p>
    <w:p w14:paraId="01868033">
      <w:pPr>
        <w:pStyle w:val="3"/>
        <w:rPr>
          <w:rFonts w:ascii="Arial" w:hAnsi="Arial" w:eastAsia="Arial" w:cs="Arial"/>
          <w:b/>
          <w:color w:val="000000"/>
          <w:sz w:val="24"/>
          <w:szCs w:val="24"/>
        </w:rPr>
      </w:pPr>
      <w:r>
        <w:rPr>
          <w:rFonts w:ascii="Arial" w:hAnsi="Arial" w:eastAsia="Arial" w:cs="Arial"/>
          <w:b/>
          <w:color w:val="000000"/>
          <w:sz w:val="24"/>
          <w:szCs w:val="24"/>
        </w:rPr>
        <w:t>15. Sistemas</w:t>
      </w:r>
    </w:p>
    <w:p w14:paraId="455C4CD8">
      <w:pPr>
        <w:pStyle w:val="4"/>
        <w:rPr>
          <w:rFonts w:ascii="Arial" w:hAnsi="Arial" w:eastAsia="Arial" w:cs="Arial"/>
          <w:b/>
          <w:color w:val="000000"/>
          <w:sz w:val="24"/>
          <w:szCs w:val="24"/>
        </w:rPr>
      </w:pPr>
      <w:r>
        <w:rPr>
          <w:rFonts w:ascii="Arial" w:hAnsi="Arial" w:eastAsia="Arial" w:cs="Arial"/>
          <w:b/>
          <w:color w:val="000000"/>
          <w:sz w:val="24"/>
          <w:szCs w:val="24"/>
        </w:rPr>
        <w:t>15.1 - Anti Jammer</w:t>
      </w:r>
    </w:p>
    <w:p w14:paraId="00FCE50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15.1.1 Os equipamentos anti-jammer deverão atender no mínimo:</w:t>
      </w:r>
    </w:p>
    <w:p w14:paraId="00EAAF8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15.1.2 O equipamento deve possuir dispositivo de detecção de bloqueadores de rastreamento veicular;</w:t>
      </w:r>
    </w:p>
    <w:p w14:paraId="465CCF8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15.1.3 Deverá ser possível parametrizar a sensibilidade de detecção dos bloqueadores;</w:t>
      </w:r>
    </w:p>
    <w:p w14:paraId="719201D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15.1.4 O equipamento deverá ser capaz de identificar bloqueadores em até 3 faixas de rolamento;</w:t>
      </w:r>
    </w:p>
    <w:p w14:paraId="095E2CA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15.1.5 O equipamento deverá ser capaz de identificar bloqueadores em veículos com velocidade de 1 a 150 km/h, no mínimo.</w:t>
      </w:r>
    </w:p>
    <w:p w14:paraId="7CE44434">
      <w:pPr>
        <w:spacing w:before="228" w:line="230" w:lineRule="auto"/>
        <w:ind w:right="2" w:firstLine="2"/>
        <w:jc w:val="both"/>
        <w:rPr>
          <w:b/>
          <w:sz w:val="24"/>
          <w:szCs w:val="24"/>
        </w:rPr>
      </w:pPr>
    </w:p>
    <w:p w14:paraId="5C1985E9">
      <w:pPr>
        <w:pStyle w:val="4"/>
        <w:rPr>
          <w:rFonts w:ascii="Arial" w:hAnsi="Arial" w:eastAsia="Arial" w:cs="Arial"/>
          <w:b/>
          <w:color w:val="000000"/>
          <w:sz w:val="24"/>
          <w:szCs w:val="24"/>
        </w:rPr>
      </w:pPr>
      <w:r>
        <w:rPr>
          <w:rFonts w:ascii="Arial" w:hAnsi="Arial" w:eastAsia="Arial" w:cs="Arial"/>
          <w:b/>
          <w:color w:val="000000"/>
          <w:sz w:val="24"/>
          <w:szCs w:val="24"/>
        </w:rPr>
        <w:t xml:space="preserve">15.2 – Sistema de Fluxo Veicular e Estatística On-Line </w:t>
      </w:r>
    </w:p>
    <w:p w14:paraId="5A3321C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color w:val="000000"/>
        </w:rPr>
      </w:pPr>
      <w:r>
        <w:rPr>
          <w:b/>
          <w:color w:val="000000"/>
        </w:rPr>
        <w:t>Análise de dados e interface de comunicação</w:t>
      </w:r>
    </w:p>
    <w:p w14:paraId="76A3728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 A contratada deverá fornecer sistema(s) com base nos dados coletados pelos equipamentos de fiscalização de velocidade e disponibilizar ferramentas em ambiente Web para visualização da situação do trânsito e emissão de relatórios para análise e tomadas de decisões com as informações coletadas.</w:t>
      </w:r>
    </w:p>
    <w:p w14:paraId="776CCD4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15.2.2 Deverá coletar dados 24 (vinte e quatro) horas ininterruptas;</w:t>
      </w:r>
    </w:p>
    <w:p w14:paraId="240CE85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15.2.3 Deverá coletar dados dos equipamentos como: data, hora, minuto, velocidade, e identificará o porte veicular de todos os veículos passantes nas faixas da seção monitorada.</w:t>
      </w:r>
    </w:p>
    <w:p w14:paraId="1E3A956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15.2.4 Deverá realizar a transferência dos dados on-line, para a Secretaria de Transportes e Mobilidade Urbana, permitindo a geração de dados estatísticos como a velocidade média, percentual de ocupação da via e quantidade de veículos que passaram.</w:t>
      </w:r>
    </w:p>
    <w:p w14:paraId="48820F3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15.2.5 Dados históricos armazenados deverão ser guardados para consulta. Os dados deverão ser disponibilizados na WEB para consulta imediata;</w:t>
      </w:r>
    </w:p>
    <w:p w14:paraId="408EB4C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15.2.6 Os dados deverão ser tratados por seção da via, grupo de seções, áreas ou agrupamento de seções que o órgão queria estudar, como faixas por velocidade, por tipo de via, etc.</w:t>
      </w:r>
    </w:p>
    <w:p w14:paraId="3DBA238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15.2.7 A visualização deverá ser apresentada por mapa / seção, sendo o mapa total da área monitorada dividida em macro áreas.</w:t>
      </w:r>
    </w:p>
    <w:p w14:paraId="28F2388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15.2.8 Cada macro área deverá ser dividido hierarquicamente em micro áreas, tantas quantas forem necessárias até alcançar a seção desejada.</w:t>
      </w:r>
    </w:p>
    <w:p w14:paraId="6F6F734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15.2.9 Todas as seções monitoradas deverão estar presentes no mapa, o que permitirá a visão do todo com todas as seções juntas.</w:t>
      </w:r>
    </w:p>
    <w:p w14:paraId="21A540C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15.2.10 Os dados deverão ser apresentados em intervalos de Ano, Mês, Dia, Hora, 15 minutos e num intervalo mínimo de 1 (um) minuto.</w:t>
      </w:r>
    </w:p>
    <w:p w14:paraId="5BB30D1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15.2.11 Deverão ser disponibilizados gráficos lineares que mostrarão de forma detalhada os seguintes gráficos:</w:t>
      </w:r>
    </w:p>
    <w:p w14:paraId="7F0A6D1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15.2.12 Gráfico de Velocidade: Deverá representar a distribuição da velocidade média dos veículos no respectivo período;</w:t>
      </w:r>
    </w:p>
    <w:p w14:paraId="4E090D7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15.2.13 Gráfico de Fluxo: Deverá representar a distribuição da quantidade total de veículos no respectivo período;</w:t>
      </w:r>
    </w:p>
    <w:p w14:paraId="4C56418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15.3.14 O sistema deverá permitir a classificação de situação do trânsito em um ponto (trânsito local) ou mais pontos (cruzamento entre 2 ou mais pontos), classificando em trânsito “bom”. “regular”, “lento”,” ruim” e “congestionado” conforme os dados coletados com contagem volumétrica, taxa de ocupação da via e etc., disponibilizando estes dados de forma gráfica ao operador de forma automática, ou seja, sem interferência humana.</w:t>
      </w:r>
    </w:p>
    <w:p w14:paraId="241DCEB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15.2.15 O sistema deverá disponibilizar as qualificações de trânsito em cores diferentes, exemplo: bom: verde; regular: amarelo, ruim: laranja; congestionado: vermelho.</w:t>
      </w:r>
    </w:p>
    <w:p w14:paraId="268EF13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15.2.16 Características gerais do sistema(s): Coleta de dados 24 (vinte e quatro) horas ininterruptas; Dados históricos armazenados deverão ser guardados para consulta; os dados deverão ser disponibilizados em página WEB com acesso com login e senha.</w:t>
      </w:r>
    </w:p>
    <w:p w14:paraId="54C84BB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15.2.16.1 Os dados estatísticos devem ser apresentados por:</w:t>
      </w:r>
    </w:p>
    <w:p w14:paraId="230E17BB">
      <w:pPr>
        <w:numPr>
          <w:ilvl w:val="0"/>
          <w:numId w:val="20"/>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000000"/>
        </w:rPr>
      </w:pPr>
      <w:r>
        <w:rPr>
          <w:color w:val="000000"/>
        </w:rPr>
        <w:t>Tabela de distribuição por faixa de velocidade, apresentada no intervalo de hora a hora com total de cada faixa separada de 10 em 10 Km/h e total do intervalo.</w:t>
      </w:r>
    </w:p>
    <w:p w14:paraId="6EB12FC1">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distribuição de ocorrências por faixa de velocidade.</w:t>
      </w:r>
    </w:p>
    <w:p w14:paraId="1E82029D">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total de veículos apresentado por quantidade, no intervalo de minuto a minuto ou outro período selecionado.</w:t>
      </w:r>
    </w:p>
    <w:p w14:paraId="7CAB127B">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total de veículo por porte veicular, apresentado por quantidade, no intervalo de minuto a minuto, ao longo do período.</w:t>
      </w:r>
    </w:p>
    <w:p w14:paraId="49F0E388">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Gráfico de “Velocidade Média”, apresentado pela velocidade (Km/h), no intervalo de minuto a minuto ao longo do período.</w:t>
      </w:r>
    </w:p>
    <w:p w14:paraId="3955B325">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Tabela de “Taxa de % de Ocupação da Via”, demonstrando o percentual de densidade do trânsito.</w:t>
      </w:r>
    </w:p>
    <w:p w14:paraId="27C66B02">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Tabela de “Distribuição por Porte veicular”, apresentada no intervalo de hora a hora com o total de cada uma e o total do período.</w:t>
      </w:r>
    </w:p>
    <w:p w14:paraId="0203FA08">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Gráfico de “Ocorrência por Porte Veicular”, demonstrando o percentual de ocorrência no período.</w:t>
      </w:r>
    </w:p>
    <w:p w14:paraId="6D9BB143">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Histórico do local na última hora.</w:t>
      </w:r>
    </w:p>
    <w:p w14:paraId="08EC459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15.2.16.2 Dashboard visual com gráficos de análise de fluxo veicular e geração de infrações com os seguintes dados:</w:t>
      </w:r>
    </w:p>
    <w:p w14:paraId="6B357735">
      <w:pPr>
        <w:numPr>
          <w:ilvl w:val="0"/>
          <w:numId w:val="20"/>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000000"/>
        </w:rPr>
      </w:pPr>
      <w:r>
        <w:rPr>
          <w:color w:val="000000"/>
        </w:rPr>
        <w:t>Filtro por região, equipamento, município e período.</w:t>
      </w:r>
    </w:p>
    <w:p w14:paraId="7D2B1A8C">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Totalizador de passagens por período selecionado.</w:t>
      </w:r>
    </w:p>
    <w:p w14:paraId="79A65515">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Totalizador de infrações por período selecionado.</w:t>
      </w:r>
    </w:p>
    <w:p w14:paraId="7D1AF9F1">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comparativo diário entre passagens e infrações.</w:t>
      </w:r>
    </w:p>
    <w:p w14:paraId="0EF38160">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Mapa de concentração de fluxo veicular.</w:t>
      </w:r>
    </w:p>
    <w:p w14:paraId="2EB6E5DD">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comparativo de fluxo diário com o mesmo período do ano anterior.</w:t>
      </w:r>
    </w:p>
    <w:p w14:paraId="399D2CA6">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comparativo de fluxo diário com 1 mês de deslocamento.</w:t>
      </w:r>
    </w:p>
    <w:p w14:paraId="5DC69C38">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evolução de fluxo veicular por classificação.</w:t>
      </w:r>
    </w:p>
    <w:p w14:paraId="2763E7DD">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Calendário de intensidade de fluxo por dia.</w:t>
      </w:r>
    </w:p>
    <w:p w14:paraId="3EC2C2C1">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distribuição de fluxo por faixa de rolagem.</w:t>
      </w:r>
    </w:p>
    <w:p w14:paraId="50B64C2A">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Ranking de quantidade de passagens por faixa de rolagem.</w:t>
      </w:r>
    </w:p>
    <w:p w14:paraId="7C94D03B">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previsão de fluxo futuro.</w:t>
      </w:r>
    </w:p>
    <w:p w14:paraId="740553A1">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Alerta de anomalia de tráfego.</w:t>
      </w:r>
    </w:p>
    <w:p w14:paraId="0B662C6C">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Mapa 3D de incidência de infrações por ponto.</w:t>
      </w:r>
    </w:p>
    <w:p w14:paraId="69C2D21F">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comparativo de infrações diárias com o mesmo período do ano anterior.</w:t>
      </w:r>
    </w:p>
    <w:p w14:paraId="7203D383">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evolução de infrações por enquadramento.</w:t>
      </w:r>
    </w:p>
    <w:p w14:paraId="17D64A25">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Calendário de intensidade de infrações por dia.</w:t>
      </w:r>
    </w:p>
    <w:p w14:paraId="12E7232B">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distribuição de infrações por faixa de rolagem.</w:t>
      </w:r>
    </w:p>
    <w:p w14:paraId="483CE52A">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Ranking de quantidade de infrações por faixa de rolagem.</w:t>
      </w:r>
    </w:p>
    <w:p w14:paraId="63304D1B">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previsão de infrações a serem geradas.</w:t>
      </w:r>
    </w:p>
    <w:p w14:paraId="4F0ADE46">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Alerta de anomalia de geração de infrações.</w:t>
      </w:r>
    </w:p>
    <w:p w14:paraId="6EFDF89F">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Mapa 3D de incidência de irregularidades por ponto.</w:t>
      </w:r>
    </w:p>
    <w:p w14:paraId="2037D9C2">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comparativo de irregularidades diárias com o mesmo período do ano anterior.</w:t>
      </w:r>
    </w:p>
    <w:p w14:paraId="19A9B3D5">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evolução de irregularidades por tipo de problema.</w:t>
      </w:r>
    </w:p>
    <w:p w14:paraId="1E64A961">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Calendário de intensidade de irregularidades por dia.</w:t>
      </w:r>
    </w:p>
    <w:p w14:paraId="16C2AE28">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distribuição de irregularidades por faixa de rolagem.</w:t>
      </w:r>
    </w:p>
    <w:p w14:paraId="459FE5AF">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Ranking de quantidade de irregularidade por faixa de rolagem.</w:t>
      </w:r>
    </w:p>
    <w:p w14:paraId="73A6C766">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Gráfico de tendência de irregularidades a serem detectadas.</w:t>
      </w:r>
    </w:p>
    <w:p w14:paraId="298050D7">
      <w:pPr>
        <w:numPr>
          <w:ilvl w:val="0"/>
          <w:numId w:val="20"/>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Alerta de anomalia de irregularidades detectadas.</w:t>
      </w:r>
    </w:p>
    <w:p w14:paraId="3F44FB64">
      <w:pPr>
        <w:pBdr>
          <w:top w:val="none" w:color="auto" w:sz="0" w:space="0"/>
          <w:left w:val="none" w:color="auto" w:sz="0" w:space="0"/>
          <w:bottom w:val="none" w:color="auto" w:sz="0" w:space="0"/>
          <w:right w:val="none" w:color="auto" w:sz="0" w:space="0"/>
          <w:between w:val="none" w:color="auto" w:sz="0" w:space="0"/>
        </w:pBdr>
        <w:spacing w:before="228" w:line="230" w:lineRule="auto"/>
        <w:ind w:left="724" w:right="2"/>
        <w:jc w:val="both"/>
        <w:rPr>
          <w:color w:val="000000"/>
        </w:rPr>
      </w:pPr>
    </w:p>
    <w:p w14:paraId="55D61F41">
      <w:pPr>
        <w:pStyle w:val="4"/>
        <w:rPr>
          <w:rFonts w:ascii="Arial" w:hAnsi="Arial" w:eastAsia="Arial" w:cs="Arial"/>
          <w:b/>
          <w:bCs/>
          <w:color w:val="000000"/>
          <w:sz w:val="24"/>
          <w:szCs w:val="24"/>
        </w:rPr>
      </w:pPr>
      <w:r>
        <w:rPr>
          <w:rFonts w:ascii="Arial" w:hAnsi="Arial" w:cs="Arial"/>
          <w:b/>
          <w:bCs/>
          <w:color w:val="000000"/>
          <w:sz w:val="24"/>
          <w:szCs w:val="24"/>
        </w:rPr>
        <w:t>15</w:t>
      </w:r>
      <w:r>
        <w:rPr>
          <w:rFonts w:ascii="Arial" w:hAnsi="Arial" w:eastAsia="Arial" w:cs="Arial"/>
          <w:b/>
          <w:bCs/>
          <w:color w:val="000000"/>
          <w:sz w:val="24"/>
          <w:szCs w:val="24"/>
        </w:rPr>
        <w:t xml:space="preserve">.3 – Sistema de Inteligência Analítica – BI </w:t>
      </w:r>
    </w:p>
    <w:p w14:paraId="1279E5C5">
      <w:pPr>
        <w:spacing w:before="228" w:line="230" w:lineRule="auto"/>
        <w:ind w:right="2" w:firstLine="2"/>
        <w:jc w:val="both"/>
      </w:pPr>
      <w:r>
        <w:rPr>
          <w:color w:val="000000"/>
        </w:rPr>
        <w:t>15</w:t>
      </w:r>
      <w:r>
        <w:t>.3.1 O sistema deve ser desenvolvido em aplicativo que permita a disponibilização através de URL específica, mostrando transparência das informações armazenadas em banco de dados;</w:t>
      </w:r>
    </w:p>
    <w:p w14:paraId="69707248">
      <w:pPr>
        <w:spacing w:before="228" w:line="230" w:lineRule="auto"/>
        <w:ind w:right="2" w:firstLine="2"/>
        <w:jc w:val="both"/>
      </w:pPr>
      <w:r>
        <w:rPr>
          <w:color w:val="000000"/>
        </w:rPr>
        <w:t>15</w:t>
      </w:r>
      <w:r>
        <w:t>.3.2 Permitir ou não o compartilhamento das informações com usuários externos sem necessidade de senhas de acesso;</w:t>
      </w:r>
    </w:p>
    <w:p w14:paraId="19DD2B72">
      <w:pPr>
        <w:spacing w:before="228" w:line="230" w:lineRule="auto"/>
        <w:ind w:right="2" w:firstLine="2"/>
        <w:jc w:val="both"/>
      </w:pPr>
      <w:r>
        <w:rPr>
          <w:color w:val="000000"/>
        </w:rPr>
        <w:t>15</w:t>
      </w:r>
      <w:r>
        <w:t>.3.3 Deve permitir o monitoramento dos dados através de painéis de fácil visualização gráfica;</w:t>
      </w:r>
    </w:p>
    <w:p w14:paraId="54D86E7C">
      <w:pPr>
        <w:spacing w:before="228" w:line="230" w:lineRule="auto"/>
        <w:ind w:right="2" w:firstLine="2"/>
        <w:jc w:val="both"/>
      </w:pPr>
      <w:r>
        <w:rPr>
          <w:color w:val="000000"/>
        </w:rPr>
        <w:t>15</w:t>
      </w:r>
      <w:r>
        <w:t>.3.4 Utilizar como apoio aplicativos para compilar as informações rapidamente, podendo ser do tipo Analysis Services, facilitando a tomada de decisões da CONTRATANTE para quaisquer intervenções na administração do trânsito;</w:t>
      </w:r>
    </w:p>
    <w:p w14:paraId="0E135C1F">
      <w:pPr>
        <w:spacing w:before="228" w:line="230" w:lineRule="auto"/>
        <w:ind w:right="2" w:firstLine="2"/>
        <w:jc w:val="both"/>
      </w:pPr>
      <w:r>
        <w:rPr>
          <w:color w:val="000000"/>
        </w:rPr>
        <w:t>15</w:t>
      </w:r>
      <w:r>
        <w:t>.3.5 Possibilitar a integração dos painéis estatísticos no sistema de apoio ao processamento de autuações e JARI;</w:t>
      </w:r>
    </w:p>
    <w:p w14:paraId="17C1D945">
      <w:pPr>
        <w:spacing w:before="228" w:line="230" w:lineRule="auto"/>
        <w:ind w:right="2" w:firstLine="2"/>
        <w:jc w:val="both"/>
      </w:pPr>
      <w:r>
        <w:rPr>
          <w:color w:val="000000"/>
        </w:rPr>
        <w:t>15</w:t>
      </w:r>
      <w:r>
        <w:t>.3.6 Possibilitar a confecção de relatórios dinâmicos e interativos, onde os usuários possam facilmente manipular a visualização das informações disponibilizadas;</w:t>
      </w:r>
    </w:p>
    <w:p w14:paraId="02B8F4E7">
      <w:pPr>
        <w:spacing w:before="228" w:line="230" w:lineRule="auto"/>
        <w:ind w:right="2" w:firstLine="2"/>
        <w:jc w:val="both"/>
      </w:pPr>
      <w:r>
        <w:rPr>
          <w:color w:val="000000"/>
        </w:rPr>
        <w:t>15</w:t>
      </w:r>
      <w:r>
        <w:t>.3.7 Possibilitar a criação de relatórios com dados relacionais;</w:t>
      </w:r>
    </w:p>
    <w:p w14:paraId="0C97E450">
      <w:pPr>
        <w:spacing w:before="228" w:line="230" w:lineRule="auto"/>
        <w:ind w:right="2" w:firstLine="2"/>
        <w:jc w:val="both"/>
      </w:pPr>
      <w:r>
        <w:rPr>
          <w:color w:val="000000"/>
        </w:rPr>
        <w:t>15</w:t>
      </w:r>
      <w:r>
        <w:t>.3.8 Possibilitar a criação de gráficos analíticos e sintéticos interativos, para monitorar, planejar e controlar as informações processadas;</w:t>
      </w:r>
    </w:p>
    <w:p w14:paraId="3A1E92DA">
      <w:pPr>
        <w:spacing w:before="228" w:line="230" w:lineRule="auto"/>
        <w:ind w:right="2" w:firstLine="2"/>
        <w:jc w:val="both"/>
      </w:pPr>
      <w:r>
        <w:rPr>
          <w:color w:val="000000"/>
        </w:rPr>
        <w:t>15</w:t>
      </w:r>
      <w:r>
        <w:t>.5.9 O sistema deve possibilitar a combinação de informações de qualquer uma das diferentes fontes de dados, internos e externos, para criar dashboards em tempo real das quantidades de autuações, recursos, locais de maior índice de acidentes e etc;</w:t>
      </w:r>
    </w:p>
    <w:p w14:paraId="41F49219">
      <w:pPr>
        <w:spacing w:before="228" w:line="230" w:lineRule="auto"/>
        <w:ind w:right="2" w:firstLine="2"/>
        <w:jc w:val="both"/>
      </w:pPr>
      <w:r>
        <w:rPr>
          <w:color w:val="000000"/>
        </w:rPr>
        <w:t>15</w:t>
      </w:r>
      <w:r>
        <w:t>..10 O sistema deve permitir facilmente a navegação entre os relatórios já publicados;</w:t>
      </w:r>
    </w:p>
    <w:p w14:paraId="5E959CA0">
      <w:pPr>
        <w:spacing w:before="228" w:line="230" w:lineRule="auto"/>
        <w:ind w:right="2" w:firstLine="2"/>
        <w:jc w:val="both"/>
      </w:pPr>
      <w:r>
        <w:rPr>
          <w:color w:val="000000"/>
        </w:rPr>
        <w:t>15</w:t>
      </w:r>
      <w:r>
        <w:t>.3.11 O sistema deve possuir página explicativa de ajuda para utilização;</w:t>
      </w:r>
    </w:p>
    <w:p w14:paraId="2CA69445">
      <w:pPr>
        <w:spacing w:before="228" w:line="230" w:lineRule="auto"/>
        <w:ind w:right="2" w:firstLine="2"/>
        <w:jc w:val="both"/>
      </w:pPr>
      <w:r>
        <w:rPr>
          <w:color w:val="000000"/>
        </w:rPr>
        <w:t>15</w:t>
      </w:r>
      <w:r>
        <w:t>.3.12 Os dados devem ser atualizados de acordo com a necessidade da CONTRATANTE;</w:t>
      </w:r>
    </w:p>
    <w:p w14:paraId="0D92F55C">
      <w:pPr>
        <w:spacing w:before="228" w:line="230" w:lineRule="auto"/>
        <w:ind w:right="2" w:firstLine="2"/>
        <w:jc w:val="both"/>
      </w:pPr>
      <w:r>
        <w:rPr>
          <w:color w:val="000000"/>
        </w:rPr>
        <w:t>15</w:t>
      </w:r>
      <w:r>
        <w:t xml:space="preserve">.3.13 Possibilidade de interagir com as informações de contagem de penalidades por determinado período, porcentagem de infrações por tipo de veículo, filtro por ano de autuação, filtro por mês, por dia da semana (segunda a domingo). </w:t>
      </w:r>
    </w:p>
    <w:p w14:paraId="59DB792D">
      <w:pPr>
        <w:spacing w:before="228" w:line="230" w:lineRule="auto"/>
        <w:ind w:right="2" w:firstLine="2"/>
        <w:jc w:val="both"/>
      </w:pPr>
      <w:r>
        <w:rPr>
          <w:color w:val="000000"/>
        </w:rPr>
        <w:t>15</w:t>
      </w:r>
      <w:r>
        <w:t>.3.14 Mapa de exibição de Infrações Eletrônicas</w:t>
      </w:r>
    </w:p>
    <w:p w14:paraId="53C49A60">
      <w:pPr>
        <w:spacing w:before="228" w:line="230" w:lineRule="auto"/>
        <w:ind w:right="2" w:firstLine="2"/>
        <w:jc w:val="both"/>
      </w:pPr>
      <w:r>
        <w:rPr>
          <w:color w:val="000000"/>
        </w:rPr>
        <w:t>15</w:t>
      </w:r>
      <w:r>
        <w:t>.3.15 Exibição do mapa do município com os endereços georreferenciados dos equipamentos de fiscalização eletrônica;</w:t>
      </w:r>
    </w:p>
    <w:p w14:paraId="38632559">
      <w:pPr>
        <w:spacing w:before="228" w:line="230" w:lineRule="auto"/>
        <w:ind w:right="2" w:firstLine="2"/>
        <w:jc w:val="both"/>
      </w:pPr>
      <w:r>
        <w:rPr>
          <w:color w:val="000000"/>
        </w:rPr>
        <w:t>15</w:t>
      </w:r>
      <w:r>
        <w:t>.3.16 Interação da quantidade de penalidades por filtro de enquadramento, endereço da infração, ano, mês, dia e horário;</w:t>
      </w:r>
    </w:p>
    <w:p w14:paraId="4E9CA451">
      <w:pPr>
        <w:spacing w:before="228" w:line="230" w:lineRule="auto"/>
        <w:ind w:right="2" w:firstLine="2"/>
        <w:jc w:val="both"/>
      </w:pPr>
      <w:r>
        <w:rPr>
          <w:color w:val="000000"/>
        </w:rPr>
        <w:t>15</w:t>
      </w:r>
      <w:r>
        <w:t>.3.17 Os pontos exibidos no mapa deverão mostrar a quantidade de penalidades registradas em cada equipamento;</w:t>
      </w:r>
    </w:p>
    <w:p w14:paraId="6A58A139">
      <w:pPr>
        <w:spacing w:before="228" w:line="230" w:lineRule="auto"/>
        <w:ind w:right="2" w:firstLine="2"/>
        <w:jc w:val="both"/>
      </w:pPr>
      <w:r>
        <w:rPr>
          <w:color w:val="000000"/>
        </w:rPr>
        <w:t>15</w:t>
      </w:r>
      <w:r>
        <w:t>.3.18 O relatório deve exibir a quantidade geral da frota geral do município, a qual deverá ser atualizada com as informações disponibilizadas pelo site do DENATRAN, separada por tipo de veículo, comparando com a quantidade de penalidades de veículos do Município.</w:t>
      </w:r>
    </w:p>
    <w:p w14:paraId="652DF3D4">
      <w:pPr>
        <w:spacing w:before="228" w:line="230" w:lineRule="auto"/>
        <w:ind w:right="2" w:firstLine="2"/>
        <w:jc w:val="both"/>
      </w:pPr>
      <w:r>
        <w:rPr>
          <w:color w:val="000000"/>
        </w:rPr>
        <w:t>15</w:t>
      </w:r>
      <w:r>
        <w:t xml:space="preserve">.3.19 Possuir gráfico para comparação de total de frota X Veículos autuados; </w:t>
      </w:r>
    </w:p>
    <w:p w14:paraId="2EEFE9FA">
      <w:pPr>
        <w:spacing w:before="228" w:line="230" w:lineRule="auto"/>
        <w:ind w:right="2" w:firstLine="2"/>
        <w:jc w:val="both"/>
      </w:pPr>
      <w:r>
        <w:rPr>
          <w:color w:val="000000"/>
        </w:rPr>
        <w:t>15</w:t>
      </w:r>
      <w:r>
        <w:t>.3.20 Exibir quadro de reincidência de veículos autuados, filtrado pelo período a escolha do usuário;</w:t>
      </w:r>
    </w:p>
    <w:p w14:paraId="44EFED1E">
      <w:pPr>
        <w:spacing w:before="228" w:line="230" w:lineRule="auto"/>
        <w:ind w:right="2" w:firstLine="2"/>
        <w:jc w:val="both"/>
      </w:pPr>
      <w:r>
        <w:rPr>
          <w:color w:val="000000"/>
        </w:rPr>
        <w:t>15</w:t>
      </w:r>
      <w:r>
        <w:t>.3.21 As informações devem ser disponibilizadas de forma interativa, para que o usuário escolha os filtros de sua pesquisa que as informações devem ser alteradas conforme o filtro.</w:t>
      </w:r>
    </w:p>
    <w:p w14:paraId="2ECD5F07">
      <w:pPr>
        <w:spacing w:before="228" w:line="230" w:lineRule="auto"/>
        <w:ind w:right="2" w:firstLine="2"/>
        <w:jc w:val="both"/>
      </w:pPr>
    </w:p>
    <w:p w14:paraId="02DC5F01">
      <w:pPr>
        <w:pStyle w:val="4"/>
        <w:jc w:val="both"/>
        <w:rPr>
          <w:rFonts w:ascii="Arial" w:hAnsi="Arial" w:eastAsia="Arial" w:cs="Arial"/>
          <w:b/>
          <w:bCs/>
          <w:color w:val="000000"/>
          <w:sz w:val="24"/>
          <w:szCs w:val="24"/>
        </w:rPr>
      </w:pPr>
      <w:r>
        <w:rPr>
          <w:rFonts w:ascii="Arial" w:hAnsi="Arial" w:cs="Arial"/>
          <w:b/>
          <w:bCs/>
          <w:color w:val="auto"/>
          <w:sz w:val="24"/>
          <w:szCs w:val="24"/>
        </w:rPr>
        <w:t>15.4 -</w:t>
      </w:r>
      <w:r>
        <w:rPr>
          <w:rFonts w:ascii="Arial" w:hAnsi="Arial" w:cs="Arial"/>
          <w:color w:val="auto"/>
          <w:sz w:val="24"/>
          <w:szCs w:val="24"/>
        </w:rPr>
        <w:t xml:space="preserve"> </w:t>
      </w:r>
      <w:r>
        <w:rPr>
          <w:rFonts w:ascii="Arial" w:hAnsi="Arial" w:eastAsia="Arial" w:cs="Arial"/>
          <w:b/>
          <w:bCs/>
          <w:color w:val="000000"/>
          <w:sz w:val="24"/>
          <w:szCs w:val="24"/>
        </w:rPr>
        <w:t>Sistema Integrador para Gerenciamento de Imagens e Processamento das Informações Geradas</w:t>
      </w:r>
    </w:p>
    <w:p w14:paraId="6F37056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 xml:space="preserve">15.4.1 Sistema Integrador </w:t>
      </w:r>
    </w:p>
    <w:p w14:paraId="2CD781F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 A Plataforma deverá ter por principal função ser um concentrador/integrador dos diversos sistemas da CONTRATANTE, sejam eles de Segurança ou não, otimizando os serviços e a troca de informações entre diversos sites, que passarão a ser operados de forma cooperativa e integrada. </w:t>
      </w:r>
    </w:p>
    <w:p w14:paraId="62A1804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 A Plataforma de Integração e Tomada de Decisão deverá ser completamente acessível através da web, permitindo utilização em diversos dispositivos de acordo com as tecnologias mais recentes e atualizadas, sendo acessível por desktops e dispositivos móveis independente do sistema operacional desde que este possua um navegador web atual e compatível com a solução. </w:t>
      </w:r>
    </w:p>
    <w:p w14:paraId="68C2E95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15.4.1.3 A aplicação web será utilizada para o gerenciamento de todo conteúdo, incluindo a própria plataforma. Através dela deverão ser feitos o planejamento, análise de dados, atividades de videomonitoramento e comunicação. Também deverá ser possível a criação de Procedimentos Operacionais Padrão (POP), de maneira a ser possível a construção de fluxos para distintas ocorrências, além de diversas integrações. </w:t>
      </w:r>
    </w:p>
    <w:p w14:paraId="187E049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15.4.1.4 Esta plataforma concentradora realizará as integrações entre os vários sistemas permitindo a cooperação e integração entre diversos órgãos e serviços. É o item mais importante na implementação deste Centro de Operação, permitindo a troca de informações rápida e a interoperabilidade entre sistemas e unidades da CONTRATANTE, o que aumenta a cooperação, reduz o tempo de reação a incidentes e traz maior eficiência às ações preventivas, otimizando a utilização de recursos com um planejamento unificado e escalonado para cobrir as variáveis identificadas, tendo contingência e pronta resposta ao maior número de situações possível. </w:t>
      </w:r>
    </w:p>
    <w:p w14:paraId="358232B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15.4.1.5 Se entende como Plataforma (Plataforma Web, Plataforma de Integração e Tomada de Decisão): “Conjunto de sistemas e subsistemas integrados e interoperáveis, com funcionalidades agrupadas por módulos, com interfaces personalizadas, controle de acesso unificado trazendo a experiência ao usuário de que se trata de um único sistema não sendo necessário realizar login múltiplas vezes (sempre que acessar outra ferramenta ou sistema), </w:t>
      </w:r>
    </w:p>
    <w:p w14:paraId="5EDFD8D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15.4.1.6 Todos os sistemas e subsistemas que compõem a plataforma deverão ser executados em cloud e possuir interface de acesso em arquitetura web, além de ser disponibilizado como serviço (SaaS), independente da linguagem utilizada para construção dos sistemas/serviços (backend) e das interfaces (frontend). Deverá funcionar nos principais navegadores do mercado (Google Chrome, Firefox, Microsoft Edge). A Plataforma deverá ser escalável permitindo sua expansão gradual, de maneira a permitir a inclusão de informações proveniente de OUTROS CONTRATOS, caso entenda necessário para viabilizar integrações entre sistemas ou dar maior escalabilidade a Plataforma. </w:t>
      </w:r>
    </w:p>
    <w:p w14:paraId="4C8D90F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15.4.1.7 A plataforma deverá ser escalável, permitindo a expansão gradual à medida em que é implantada e que novos componentes, funcionalidades, módulos e integrações forem incluídos e disponibilizados conforme descrito neste termo de referência e em seus anexos, considerando também a possibilidade de aditamento do contrato conforme legislação vigente. </w:t>
      </w:r>
    </w:p>
    <w:p w14:paraId="6DFEE85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15.4.1.8 A solução deverá possuir as ferramentas necessárias para garantir a sua segurança de ponta a ponta criando um modelo de múltiplas camadas de segurança como forma mitigar ataques, violações, vazamentos e garantir a confidencialidade, disponibilidade e integridade, contando com criptografia para todo o tráfego, bases de dados, dados e arquivos armazenados, utilização de SSL/TLS, firewall (UTM, NGFW), WAF, CDN, VPN e outras tecnologias para garantir a comunicação segura através de redes, deve possuir interface para definição de regras de acesso, priorização, bloqueio e ação baseada em variáveis, interfaces gerenciamento da infraestrutura e de redes com monitoramento, segregação (e.g. VLAN) e outras ferramentas de controle disponíveis nas camadas de rede. A definição das políticas e das ferramentas de segurança serão de responsabilidade da CONTRATANTE. </w:t>
      </w:r>
    </w:p>
    <w:p w14:paraId="6724033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15.4.1.9 As informações de todos os equipamentos, sistemas e ferramentas utilizados na Plataforma/Solução deverão estar disponíveis em tempo real a CONTRATANTE através de painel vinculado ao Módulo de Gestão, permitindo assim a análise e acompanhamento da operação da plataforma e tempo de reação reduzido sempre que anomalias forem detectadas que precisem de correção (ex.: Link rompido no ponto #XYZ) ou mitigação a ataques onde o tempo de resposta pode ser a diferença entre um ataque mal sucedido e o vazamento de dados, estas informações devem servir como ferramenta de diagnóstico das falhas e fiscalização da qualidade dos serviços que compõem a Plataforma. </w:t>
      </w:r>
    </w:p>
    <w:p w14:paraId="6B9BEBA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15.4.1.10 Todas as integrações à nova Plataforma de Integração e Tomada de Decisão com parceiros, deverão passar por prévio processo de homologação a fim de garantir a qualidade e segurança da solução como um todo. As integrações deste tipo serão realizadas através de API aberta e será realizada pela CONTRATADA em sua própria plataforma. </w:t>
      </w:r>
    </w:p>
    <w:p w14:paraId="57AD73D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15.4.1.11 O Sistema deverá ser modularizado de modo que cada usuário possa definir a organização de sua tela de trabalho, reposicionando e redimensionando cada módulo como desejar; </w:t>
      </w:r>
    </w:p>
    <w:p w14:paraId="3441BBE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15.4.1.12 Cada módulo deverá ser posicionado em uma grade onde a quantidade de linhas e colunas podem ser configuradas; </w:t>
      </w:r>
    </w:p>
    <w:p w14:paraId="58D13FC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15.4.1.13 Possuir interface de fácil navegação, com usabilidade fluída e intuitiva, de modo a reduzir a necessidade de treinamentos; </w:t>
      </w:r>
    </w:p>
    <w:p w14:paraId="6E880F4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15.4.1.14 Permitir o monitoramento e visualização situacional de todas as informações e dispositivos integrados em uma única tela, permitindo também o agrupamento por multicamadas interpostas sobre mapas metropolitanos ou prediais; </w:t>
      </w:r>
    </w:p>
    <w:p w14:paraId="74BFF9A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15.4.1.10 Permitir o funcionamento em infraestrutura de servidores tanto físicos como virtualizados, seja localmente (nas instalações dos clientes) ou em nuvem (privada, pública ou híbrida); </w:t>
      </w:r>
    </w:p>
    <w:p w14:paraId="03D95F1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15.4.1.15 Deverá ser desenvolvido em arquitetura escalável e flexível, com interfaces, comandos, operação e administração em língua portuguesa do Brasil; </w:t>
      </w:r>
    </w:p>
    <w:p w14:paraId="45221D6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15.4.1.16 O sistema deverá disponibilizar um conjunto de APIs de modo a permitir a integração com outros sistemas; </w:t>
      </w:r>
    </w:p>
    <w:p w14:paraId="48CF7BD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15.4.1.17 O sistema deverá possuir controle de acesso por usuário, definindo restrições para grupos de usuários e perfis de acesso; </w:t>
      </w:r>
    </w:p>
    <w:p w14:paraId="5ACDFAF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15.4.1.18 Deverá ser possível definir as camadas e módulos acessíveis por cada grupo de usuário, bem como as funcionalidades que cada perfil terá acesso; </w:t>
      </w:r>
    </w:p>
    <w:p w14:paraId="2B226B4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15.4.1.19 O sistema deverá permitir que os operadores possam alterar suas senhas; </w:t>
      </w:r>
    </w:p>
    <w:p w14:paraId="6279E1B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15.4.1.20 Os dados deverão ser trafegados de forma criptografada de modo a garanta a segurança da informação; </w:t>
      </w:r>
    </w:p>
    <w:p w14:paraId="78D6589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15.4.1.21 As diretivas de classe de acesso poderão ser gerenciadas através de LDAP, onde a gestão de usuários e controle de acesso possam ser unificadas; </w:t>
      </w:r>
    </w:p>
    <w:p w14:paraId="5212856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15.4.1.22 Deverá ser baseado em tecnologia web e permitir ser executado em qualquer sistema operacional, podendo ser acessado em ambientes externos ao Centro de Operações por usuários autorizados, sem a necessidade de instalação de aplicação cliente; </w:t>
      </w:r>
    </w:p>
    <w:p w14:paraId="2B93CE4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15.4.1.23 Deverá ser capaz de operar com redundâncias a fim de permitir a recuperação rápida e automática em caso de falhas; </w:t>
      </w:r>
    </w:p>
    <w:p w14:paraId="605E47A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15.4.1.24 Todos os dados serão apresentados no sistema em tempo real sem que seja necessário o usuário atualizar o sistema; </w:t>
      </w:r>
    </w:p>
    <w:p w14:paraId="1BF07A5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15.4.1.25 Deverá oferecer a flexibilidade de configurar os parâmetros globais a serem usados nas operações; </w:t>
      </w:r>
    </w:p>
    <w:p w14:paraId="739106F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15.4.1.26 Deverá interoperar com sistemas externos para o envio e recebimento de informações disponibilizando um conjunto padronizado de serviços a serem consumidos através da tecnologia SOA; </w:t>
      </w:r>
    </w:p>
    <w:p w14:paraId="1DC4D22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15.4.1.27 Deverá permitir integração com servidores de mapas GIS utilizando o padrão WMS (OpenGIS Web Map Service Interface Standard); </w:t>
      </w:r>
    </w:p>
    <w:p w14:paraId="22BFD4D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15.4.1.28 Deverá possuir integração direta com a Ferramenta de Integração, Colaboração e Operação do Sistema de Visualização; </w:t>
      </w:r>
    </w:p>
    <w:p w14:paraId="3455742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 xml:space="preserve">15.4.2 Módulo de Operação </w:t>
      </w:r>
    </w:p>
    <w:p w14:paraId="4D54F40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15.4.2.1 Deverá permitir a inclusão manual e a captura automática de informações que viabilizem a localização geográfica de eventos e incidentes mostrando seus dados descritivos e elencando a proximidade dos ativos ao seu redor para auxiliar no atendimento;</w:t>
      </w:r>
    </w:p>
    <w:p w14:paraId="4F22627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15.4.2.2 Deverá Permitir visualizar os incidentes me formato de tabela, com ferramentas de buscas e filtros; </w:t>
      </w:r>
    </w:p>
    <w:p w14:paraId="7527883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15.4.2.3 Deverá apresentar em um relatório as estatísticas quantitativas dos incidentes, categorizados por seu status, tipo e origem. Os relatórios deverão ser exportados em formato PDF ou XLS; </w:t>
      </w:r>
    </w:p>
    <w:p w14:paraId="08A1161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15.4.2.4 Deverá mostrar os incidentes e ativos mais próximos de um incidente selecionado de forma a que o usuário possa analisar seus impactos; </w:t>
      </w:r>
    </w:p>
    <w:p w14:paraId="26D9837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15.4.2.5 O sistema deverá fornecer interface com mapas com as funções mover e zoom, permitindo a visualização de todos os dados através da estrutura de camadas; </w:t>
      </w:r>
    </w:p>
    <w:p w14:paraId="01944F0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15.4.2.6 Deverá permitir ao operador e coordenador atribuírem valores para o cálculo de matriz GUT (gravidade, Urgência e Tendência); </w:t>
      </w:r>
    </w:p>
    <w:p w14:paraId="31A8BC9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15.4.2.7 Deverá permitir a classificação em incidente primário e secundário; </w:t>
      </w:r>
    </w:p>
    <w:p w14:paraId="3158197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15.4.2.8 Deverá permitir a classificação da duração do evento em curto médio e longo prazo, emitindo alarme caso a finalização daquele extrapole seus limites; </w:t>
      </w:r>
    </w:p>
    <w:p w14:paraId="1BD6C8E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15.4.2.9 Deverá permitir que um incidente seja categorizado conforme os Procedimentos Operacionais Padrão (POP) previamente cadastrados; </w:t>
      </w:r>
    </w:p>
    <w:p w14:paraId="19E745F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15.4.2.10 Deverá permitir que os operadores possam alterar o andamento de cada tarefa POP, de maneira que o tempo de duração de cada uma seja acompanhado através de uma linha de tempo; </w:t>
      </w:r>
    </w:p>
    <w:p w14:paraId="5873DB5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15.4.2.11 Deverá permitir que os operadores possam escrever comentários em cada tarefa do POP. </w:t>
      </w:r>
    </w:p>
    <w:p w14:paraId="6FB2D9E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15.4.2.12 Deverá permitir que o operador anexe arquivos e mídias às tarefas; </w:t>
      </w:r>
    </w:p>
    <w:p w14:paraId="3B5D8E8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15.4.2.13 Deverá permitir adicionar pontos aos mapas, manualmente ou através de arquivos KML/KMZ e configurando os ícones para cada um desses pontos; </w:t>
      </w:r>
    </w:p>
    <w:p w14:paraId="0F31288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15.4.2.14 Deverá permitir que o operador responda a relatórios periódicos com uma lista de perguntas definidas pelo coordenador, alertando o mesmo quando do não preenchimento de algum item. </w:t>
      </w:r>
    </w:p>
    <w:p w14:paraId="6BEBD2C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15.4.2.15 Deverá permitir a integração e visualização nos mapas tanto de informações como de objetos estáticos como de objetos móveis, permitindo o rastreamento deles com suporte à localização georreferenciada; </w:t>
      </w:r>
    </w:p>
    <w:p w14:paraId="5102D89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15.4.2.16 Permitir saber com precisão dentro de quais áreas de atuação, previamente configuradas por arquivos geográficos, se encontra um determinado ativo;</w:t>
      </w:r>
    </w:p>
    <w:p w14:paraId="753B014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15.4.2.17 O mapa deverá possuir capacidade de aproximar até a exibição de uma planta de edificação, permitindo a exibição de todos os dispositivos monitorados como câmeras, alarmes e outros); </w:t>
      </w:r>
    </w:p>
    <w:p w14:paraId="73ACC90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15.4.2.18 Todas as câmeras cadastradas no sistema deverão exibir além da sua localização no mapa as imagens em tempo real através do protocolo RTSP e RTP, em H264 ou H265; </w:t>
      </w:r>
    </w:p>
    <w:p w14:paraId="46A8C8E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15.4.2.19 O sistema deverá permitir que os gestores vejam eventos anteriores, bem como acompanhem o andamento de eventos em curso; </w:t>
      </w:r>
    </w:p>
    <w:p w14:paraId="54309BD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15.4.2.20 O sistema deverá suportar capacidade de busca por quaisquer pontos cadastrados no sistema, bem como endereços. Todo resultado de busca, quando clicado deve ser centralizado no mapa e apresentado com um ícone; </w:t>
      </w:r>
    </w:p>
    <w:p w14:paraId="67D750F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15.4.2.21 Todos os pontos físicos (que possuam uma localização) deverão ser representados no mapa através de ícones representativos no formato de camadas, ou seja, devem ser exibidos simultaneamente quando ativados; </w:t>
      </w:r>
    </w:p>
    <w:p w14:paraId="4A4AB12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15.4.2.22 Permitir o cadastro de alarmes para notificar os usuários caso algum evento ocorra, permitindo rápida resposta, e exibindo sua localização e as funcionalidade pertinentes a esta ocorrência; </w:t>
      </w:r>
    </w:p>
    <w:p w14:paraId="2E7A3A2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15.4.2.23 Deverá permitir criar alarmes para alertar os usuários caso algum evento aconteça dentro da região demarcada, bem como atribuir tarefas a serem executadas na região; </w:t>
      </w:r>
    </w:p>
    <w:p w14:paraId="2216752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 xml:space="preserve">15.4.3 Módulo de Comunicação </w:t>
      </w:r>
    </w:p>
    <w:p w14:paraId="5298A0A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15.4.3.1 Deverá permitir o gerenciamento de grupos de usuários para envio e recebimento de mensagens; </w:t>
      </w:r>
    </w:p>
    <w:p w14:paraId="4458C1F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15.4.3.2 Deverá permitir a troca de mensagens instantâneas de texto, imagem, áudio e vídeo entre os seus usuários e com os usuários de sistemas integrados especificamente para este fim; </w:t>
      </w:r>
    </w:p>
    <w:p w14:paraId="1C163EF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15.4.3.3 Deverá permitir emitir o preenchimento automático de mensagens a partir da captura de informações sobre eventos registrados no sistema; </w:t>
      </w:r>
    </w:p>
    <w:p w14:paraId="1C7AEEA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15.4.3.4 Deverá gerenciar diversos tipos de tarefas, permitindo atribuí-las a um determinado usuário ou região e registrar o andamento dela até sua conclusão; </w:t>
      </w:r>
    </w:p>
    <w:p w14:paraId="3321B9A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15.4.3.5 Deverá permitir estabelecer rotinas de tarefas previamente planejadas a serem executada e acompanhadas pelos operadores e decisores; </w:t>
      </w:r>
    </w:p>
    <w:p w14:paraId="2FDD399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15.4.3.6 Deverá suportar a implantação de base de dados de sugestão de procedimentos de resposta a incidentes;</w:t>
      </w:r>
    </w:p>
    <w:p w14:paraId="54F6B5C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15.4.3.7 Deverá exibir mensagens de texto cadastradas no sistema e capturadas através de Feed RSS ou similar, permitindo a atualização em tempo real de notícias e outras informações provenientes de websites, para todos os usuários. A atualização das mensagens deve acontecer de forma automática, quão logo as alterações forem observadas; </w:t>
      </w:r>
    </w:p>
    <w:p w14:paraId="17A8C3C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15.4.3.8 O sistema deverá permitir o agendamento de notificações para lembrar os usuários do acontecimento das reuniões de briefing, permitindo assim tempo hábil par sua participação; </w:t>
      </w:r>
    </w:p>
    <w:p w14:paraId="406A6D8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15.4.3.9 O sistema deverá possuir a capacidade de armazenar observações pertinentes as atividades monitoradas para uma reunião de briefing, formalizando assim a participação dos envolvidos bem como disponibilizando os resultados aos demais usuários; </w:t>
      </w:r>
    </w:p>
    <w:p w14:paraId="4DF8802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15.4.3.10 Em relação as atas de reunião, todo o histórico deverá ficar registrado e deverá ser permitido ser consultado a qualquer momento pelos usuários que possuam acesso a esta funcionalidade; </w:t>
      </w:r>
    </w:p>
    <w:p w14:paraId="515A17A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15.4.3.11 O sistema deverá ser capaz de receber e efetuar chamadas VoIP usando o protocolo PJSIP; </w:t>
      </w:r>
    </w:p>
    <w:p w14:paraId="084A9C0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15.4.3.12 O sistema deverá permitir integração com sistemas de comunicação de terceiros, como Whatsapp e Telegram.</w:t>
      </w:r>
    </w:p>
    <w:p w14:paraId="3150155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 xml:space="preserve">15.4.4 Módulo de Coordenação </w:t>
      </w:r>
    </w:p>
    <w:p w14:paraId="684F031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 Possibilitará a coordenação e orientação dos efetivos durante eventos, através da criação de desenhos especificando o posicionamento de pessoal de campo, regiões de interesse e demarcação de traçados importantes no mapa; </w:t>
      </w:r>
    </w:p>
    <w:p w14:paraId="3A377A4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15.4.4.2 O sistema deverá permitir tanto a criação de planejamentos de forma manual através da interface do sistema, bem como importar arquivos KML/KMZ para automatizar a criação destes desenhos, caso já tenham sido criados em outro sistema, evitando assim o duplo trabalho. Os planejamentos devem ser salvos e consultados a quaisquer momentos pelos usuários do sistema que tenham permissão para tal; </w:t>
      </w:r>
    </w:p>
    <w:p w14:paraId="7D5BC51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15.4.4.3 Deverá permitir monitorar a execução das tarefas dos vários usuários mantendo o controle entre tarefas executadas e pendentes e visualizando as respostas as questões da tarefa; </w:t>
      </w:r>
    </w:p>
    <w:p w14:paraId="44A523D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15.4.4.4 Cada usuário poderá visualizar as tarefas que criou, bem como as tarefas que foram atribuídas a seu nome; </w:t>
      </w:r>
    </w:p>
    <w:p w14:paraId="0E5D3F0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15.4.4.5 A solução deverá permitir demarcar uma região para filtrar as informações pertinentes a área demarcada, que poderão ser salvas para futuras consultas rápidas;</w:t>
      </w:r>
    </w:p>
    <w:p w14:paraId="2A47F1C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15.4.4.6 Cerca Virtual – Deverá permitir o monitoramento de ativos móveis controlando a entrada/saída de regiões monitoradas; </w:t>
      </w:r>
    </w:p>
    <w:p w14:paraId="2512E09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15.4.4.7 Permitir a busca e a seleção de regiões de modo a habilitar a busca por nome, filtros por período, bem como habilitar múltiplas regiões simultaneamente no mapa; </w:t>
      </w:r>
    </w:p>
    <w:p w14:paraId="603DF7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15.4.4.8 Permitir desenhar uma região no mapa, permitindo identificar os objetos contidos nesta região e habilitando a criação de alarmes e o cálculo de dados estatísticos como população e estimativa de multidão; </w:t>
      </w:r>
    </w:p>
    <w:p w14:paraId="445B97C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15.4.4.9 Permitir criar referências no mapa de modo a salvar documentos, como imagens ou relatórios, atrelados a algum acontecimento na região, seja um evento planejado ou sobre o histórico de eventos na região (cuidados e perigos, protocolos etc.); </w:t>
      </w:r>
    </w:p>
    <w:p w14:paraId="08DB999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15.4.4.10 Permitir a criação de rotas passando por diversos pontos, otimizando o trajeto automaticamente, e apresentar o tempo médio e o tempo atual de utilização de cada rota, tanto para rotas já criadas como para consultas rápidas através da criação de novas rotas; </w:t>
      </w:r>
    </w:p>
    <w:p w14:paraId="6BA03B4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15.4.4.11 Permitir a visualização dos trajetos principal e alternativo de cada rota, dando a possibilidade de exibir múltiplas rotas simultaneamente para facilitar a visualização de pontos de convergência e diferenças de caminho. </w:t>
      </w:r>
    </w:p>
    <w:p w14:paraId="7D0FE61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15.4.4.12 Permitir a criação de POPs, podendo atribuir tarefas, status das tarefas, agências responsáveis, tempo esperado de execução (SLA). </w:t>
      </w:r>
    </w:p>
    <w:p w14:paraId="65FA05F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15.4.4.13 Permitir a criação de Formulários de tarefas, com diferentes tipos de questões como: múltipla escolha, campo texto, booleano, datas, horários. </w:t>
      </w:r>
    </w:p>
    <w:p w14:paraId="43C4F02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15.4.4.14 Usuários administradores poderão criar relatórios sobre os formulários preenchidos por operadores, com filtros de data, grupo, tarefa e status (preenchimento ou não), esses relatórios podem ser baixados em formato PDF e Excel. </w:t>
      </w:r>
    </w:p>
    <w:p w14:paraId="753E3DA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15.4.4.15 Os usuários operadores terão acesso a relatórios de suas próprias tarefas com filtros de data e status, esses relatórios poderão ser baixados em formato PDF e Excel. </w:t>
      </w:r>
    </w:p>
    <w:p w14:paraId="6FCFBA3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 xml:space="preserve">15.4.5 Barramento de Integração </w:t>
      </w:r>
    </w:p>
    <w:p w14:paraId="0F285AC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15.4.5.1 O Barramento de Integração de Sistemas deverá fornecer os mecanismos para a troca de dados com sistemas externos baseado em um barramento centralizado de integração. A solução a ser fornecida deverá apresentar, no mínimo, os seguintes requisitos técnicos e funcionais obrigatórios, abaixo relacionados: </w:t>
      </w:r>
    </w:p>
    <w:p w14:paraId="1A303D9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15.4.5.2 O barramento deverá ser fornecido com todas as licenças de software vitalícias necessárias para seu correto funcionamento.</w:t>
      </w:r>
    </w:p>
    <w:p w14:paraId="47B6CE6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15.4.5.3 Deverá poder agrupar informações recebidas de outros sistemas através de camadas de informações (mapas); </w:t>
      </w:r>
    </w:p>
    <w:p w14:paraId="4B18058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15.4.5.4 Deverá fornecer um conjunto de APIs para interoperar com sistemas externos para o envio e recebimento </w:t>
      </w:r>
    </w:p>
    <w:p w14:paraId="7398DEE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15.4.5.5 Deverá possibilitar a integração com sistemas Módulo de Vídeo e DVRs, incluindo sistemas das marcas Digifort, Genetec, IndigoVision, ACC, AVA, Dahua e Milestone. </w:t>
      </w:r>
    </w:p>
    <w:p w14:paraId="4AAC8CC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15.4.5.6 Deverá disponibilizar no mínimo os seguintes mecanismos para implementação das trocas de informações com sistemas externos: </w:t>
      </w:r>
    </w:p>
    <w:p w14:paraId="58A26D90">
      <w:pPr>
        <w:numPr>
          <w:ilvl w:val="0"/>
          <w:numId w:val="21"/>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000000"/>
        </w:rPr>
      </w:pPr>
      <w:r>
        <w:rPr>
          <w:color w:val="000000"/>
        </w:rPr>
        <w:t xml:space="preserve">File Leitura e escritura de arquivos; </w:t>
      </w:r>
    </w:p>
    <w:p w14:paraId="6A520606">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FTP Upload/Download de arquivos para/desde um FTP Server; </w:t>
      </w:r>
    </w:p>
    <w:p w14:paraId="67BE16C7">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HTTP Envio ou recepção de mensagens utilizando HTTP ou SOAP/HTTP; </w:t>
      </w:r>
    </w:p>
    <w:p w14:paraId="027CC124">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JMS Envio ou recepção de mensagens utilizando JMS ou SOAP/JMS; </w:t>
      </w:r>
    </w:p>
    <w:p w14:paraId="070A2453">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MAIL Envio ou recepção de mensagens utilizando protocolos de mailing (POP, IMPA, SMTP); </w:t>
      </w:r>
    </w:p>
    <w:p w14:paraId="2B203802">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SNMP Recepção de eventos SNMP utilizando a libraria SNMP4J; </w:t>
      </w:r>
    </w:p>
    <w:p w14:paraId="0E116383">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XMPP Envio ou recepção de mensagens utilizando XMPP (Jabber); </w:t>
      </w:r>
    </w:p>
    <w:p w14:paraId="4C23450F">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JDBC Execução de consultas e sentenças SQL via JDBC; </w:t>
      </w:r>
    </w:p>
    <w:p w14:paraId="001D35F2">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JETTY Publicar ou consumir serviços HTTP; </w:t>
      </w:r>
    </w:p>
    <w:p w14:paraId="7BAB267B">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JPA Integração com banco de dados, utilizando especificação JPA sobre OpenJPA, Hibernate ou TopLink; </w:t>
      </w:r>
    </w:p>
    <w:p w14:paraId="6FF024E8">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O sistema deverá ser capaz de receber e efetuar chamadas VoIP através de um servidor Asterisk; </w:t>
      </w:r>
    </w:p>
    <w:p w14:paraId="6AC4D9FB">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Deverá permitir a integração do mapa com camadas de radares meteorológicos ou satélites; </w:t>
      </w:r>
    </w:p>
    <w:p w14:paraId="1CEB5C36">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O sistema deverá ser capaz de se integrar com o sistema de atendimento e despacho Sinesp CAD; </w:t>
      </w:r>
    </w:p>
    <w:p w14:paraId="0C3D37FF">
      <w:pPr>
        <w:numPr>
          <w:ilvl w:val="0"/>
          <w:numId w:val="21"/>
        </w:numPr>
        <w:pBdr>
          <w:top w:val="none" w:color="auto" w:sz="0" w:space="0"/>
          <w:left w:val="none" w:color="auto" w:sz="0" w:space="0"/>
          <w:bottom w:val="none" w:color="auto" w:sz="0" w:space="0"/>
          <w:right w:val="none" w:color="auto" w:sz="0" w:space="0"/>
          <w:between w:val="none" w:color="auto" w:sz="0" w:space="0"/>
        </w:pBdr>
        <w:spacing w:line="230" w:lineRule="auto"/>
        <w:ind w:right="2"/>
        <w:jc w:val="both"/>
        <w:rPr>
          <w:color w:val="000000"/>
        </w:rPr>
      </w:pPr>
      <w:r>
        <w:rPr>
          <w:color w:val="000000"/>
        </w:rPr>
        <w:t xml:space="preserve">O sistema deverá ser capaz de se integrar com o sistema CORTEX do Ministério da Justiça; </w:t>
      </w:r>
    </w:p>
    <w:p w14:paraId="2399E3D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15.4.6 Sistema de Operação Unificada</w:t>
      </w:r>
    </w:p>
    <w:p w14:paraId="61C67D6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 O sistema deverá possuir controle de acesso por usuário, definindo restrições para grupos de usuários e perfis; </w:t>
      </w:r>
    </w:p>
    <w:p w14:paraId="16C5D18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15.4.6.2 Os usuários poderão ser organizados em grupos de modo a ser concedidas permissões de acesso aos aplicativos disponibilizados; </w:t>
      </w:r>
    </w:p>
    <w:p w14:paraId="3E0309B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15.4.6.3 O sistema deverá ser capaz de receber e efetuar chamadas VoIP usando o protocolo PJSIP; </w:t>
      </w:r>
    </w:p>
    <w:p w14:paraId="1598B91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15.4.6.4 O sistema deverá ser capas de compartilhar conteúdo da estação de operação integrada total ou parcial, para cada um dos painéis da solução de visualização que tiver permissão; </w:t>
      </w:r>
    </w:p>
    <w:p w14:paraId="1F01EB7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15.4.6.5 O sistema de Estação de Operação Integrada deverá ser capaz de abrir no mínimo os seguintes aplicativos: </w:t>
      </w:r>
    </w:p>
    <w:p w14:paraId="27B2357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15.4.6.6 Imagens em tempo real decorrente de câmeras através do protocolo RTSP; </w:t>
      </w:r>
    </w:p>
    <w:p w14:paraId="7AB9701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15.4.6.7 Espelhamento de computadores de diversos sistemas operacionais através do protocolo RDP ou VNC; </w:t>
      </w:r>
    </w:p>
    <w:p w14:paraId="370E111A">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15.4.6.8 Conteúdo de páginas de internet (e-mails, websites, plataformas web em geral); </w:t>
      </w:r>
    </w:p>
    <w:p w14:paraId="31B2D7E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15.4.6.9 Interface de operação de cada um dos painéis; </w:t>
      </w:r>
    </w:p>
    <w:p w14:paraId="3511A15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15.4.6.10 Módulos do sistema de Consciência Situacional; </w:t>
      </w:r>
    </w:p>
    <w:p w14:paraId="006874E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15.4.6.11 Soluções de vídeo conferência; </w:t>
      </w:r>
    </w:p>
    <w:p w14:paraId="425AA9E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Arquivos armazenados localmente na estação de trabalho, como imagens (no mínimo no formato .JPG ou .PNG), vídeos (no mínimo no formato .MP4) e documentos no formato .PDF. </w:t>
      </w:r>
    </w:p>
    <w:p w14:paraId="2B33C0E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15.4.6.12 Deverá ser possível adicionar aplicativos a uma lista de aplicativos Favoritos que ficarão disponíveis para acesso rápido; </w:t>
      </w:r>
    </w:p>
    <w:p w14:paraId="7B7D486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15.4.6.13 Os usuários deverão ser capazes de redimensionar e reposicionar os aplicativos com funções de arrasto do mouse; </w:t>
      </w:r>
    </w:p>
    <w:p w14:paraId="1050288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15.4.6.14 Deverá ser possível salvar configurações de organização da tela de modo que ao trocar de estação de trabalho ou reiniciar a estação de trabalho o Sistema consiga recuperar esta configuração sem a necessidade de o usuário reconfigurar as dimensões e posicionamento de cada aplicativo; </w:t>
      </w:r>
    </w:p>
    <w:p w14:paraId="6E2FC66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15.4.6.15 Os aplicativos deverão ser encaixados na tela em uma interface tabular onde o número de linhas e colunas possa ser configurada como parâmetro global do sistema, isto é, seja refletido para todos os usuários simultaneamente;</w:t>
      </w:r>
    </w:p>
    <w:p w14:paraId="39DAD42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15.4.6.16 Deverá ser possível configurar parâmetros de cada aplicativo e salvá-los para acesso rápido, sempre que for necessário. </w:t>
      </w:r>
    </w:p>
    <w:p w14:paraId="1B08BBC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b/>
          <w:bCs/>
          <w:color w:val="000000"/>
        </w:rPr>
      </w:pPr>
      <w:r>
        <w:rPr>
          <w:b/>
          <w:bCs/>
          <w:color w:val="000000"/>
        </w:rPr>
        <w:t xml:space="preserve">15.4.7 Soluções a serem integradas pela Plataforma </w:t>
      </w:r>
    </w:p>
    <w:p w14:paraId="39176C5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 A Solução terá entre seus objetivos integrar diversas soluções de segurança e monitoramento da CONTRATANTE, além de outros dispositivos da infraestrutura de quaisquer outros sistemas relacionados à segurança das unidades, como soluções de alarmes e câmeras de segurança e outras soluções pertinentes, soluções de monitoramento climatológico, trânsito entre outras. </w:t>
      </w:r>
    </w:p>
    <w:p w14:paraId="52A463A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 A Solução deverá ser integrada às tecnologias atualmente em uso nas diversas unidades da CONTRATANTE, por intermédio desse Centro de Operações; </w:t>
      </w:r>
    </w:p>
    <w:p w14:paraId="078EF46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 Sistema de Vídeo monitoramento (VMS) e Câmeras </w:t>
      </w:r>
    </w:p>
    <w:p w14:paraId="1242CF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15.4.7.4 Câmeras HD até 30 Megapixels; </w:t>
      </w:r>
    </w:p>
    <w:p w14:paraId="282E015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15.4.7.5 Câmeras HD Panorâmicas; </w:t>
      </w:r>
    </w:p>
    <w:p w14:paraId="07F66A8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15.4.7.6 Câmeras dome PTZ HD; </w:t>
      </w:r>
    </w:p>
    <w:p w14:paraId="13629E6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15.4.7.7 Vídeo composto de câmeras analógicas, dome PTZ e câmeras térmicas através dos codificadores analógicos H.264; </w:t>
      </w:r>
    </w:p>
    <w:p w14:paraId="4963C6E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15.4.7.8 Câmeras ONVIF Profile S; </w:t>
      </w:r>
    </w:p>
    <w:p w14:paraId="13D39FC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15.4.7.9 VMS minimamente das marcas Avigilon, Ava, IndigoVision, Digifort, Milestone e Dahua; </w:t>
      </w:r>
    </w:p>
    <w:p w14:paraId="38A5972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15.4.7.10 Analíticos </w:t>
      </w:r>
    </w:p>
    <w:p w14:paraId="43A437F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15.4.7.11 Alarmes e rastreamento baseados em regras; </w:t>
      </w:r>
    </w:p>
    <w:p w14:paraId="0E03CA3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15.4.7.12 Cruzamento de linhas; </w:t>
      </w:r>
    </w:p>
    <w:p w14:paraId="4270438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15.4.7.13 Vadiagem; </w:t>
      </w:r>
    </w:p>
    <w:p w14:paraId="67DBF67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15.4.7.14 Contagem de pessoas e Veículos; </w:t>
      </w:r>
    </w:p>
    <w:p w14:paraId="7C8C5F8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15.4.7.15 Mapa de Calor; </w:t>
      </w:r>
    </w:p>
    <w:p w14:paraId="3039550C">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15.4.7.16 LPR Leitura de Placa; </w:t>
      </w:r>
    </w:p>
    <w:p w14:paraId="22807E3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15.4.7.17 Analítico de áudio (quebra de vidro, ruído alto, disparo de arma de fogo, grito, alarme do sistema de detecção de fumaça, alarme de carro, botão de pânico ultrassônico ou cachorro latindo); </w:t>
      </w:r>
    </w:p>
    <w:p w14:paraId="367690B8">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15.4.7.18 Detecção de gases tais como CO2, THC, monóxido de carbono e outros; </w:t>
      </w:r>
    </w:p>
    <w:p w14:paraId="7D9AB809">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15.4.7.19 Eventos do sistema de controle de acesso tais como acesso negado ou porta forçada;</w:t>
      </w:r>
    </w:p>
    <w:p w14:paraId="33931F4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15.4.7.20 Movimentação não usual ou anomalias identificadas automaticamente pelo sistema tal como pessoa em local ou horário ou som não usuais para a cena. </w:t>
      </w:r>
    </w:p>
    <w:p w14:paraId="2E23400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15.4.7.21 Alarmes </w:t>
      </w:r>
    </w:p>
    <w:p w14:paraId="195D367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15.4.7.22 Alarmes de segurança patrimonial, incluindo sensores de intrusão, sensores de presença, sensores de perímetro e botão de pânico; </w:t>
      </w:r>
    </w:p>
    <w:p w14:paraId="27FE99B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15.4.7.23 Alarmes de algoritmos de videomonitoramento, provenientes dos analíticos das câmeras ou VMS; </w:t>
      </w:r>
    </w:p>
    <w:p w14:paraId="6D5AF2D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15.4.7.24 Alarmes de sistemas de combate a incêndio; </w:t>
      </w:r>
    </w:p>
    <w:p w14:paraId="55221BC2">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15.4.7.25 Alarmes e Alertas de estações meteorológicas e sistemas climáticos; </w:t>
      </w:r>
    </w:p>
    <w:p w14:paraId="188FC79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15.4.7.26 Sistemas terceiros </w:t>
      </w:r>
    </w:p>
    <w:p w14:paraId="5EE94EE3">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15.4.7.27 Sistemas de segurança providos pelo governo (e.g. Cortex do Ministério da Justiça etc.) </w:t>
      </w:r>
    </w:p>
    <w:p w14:paraId="3784428B">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15.4.7.28 Sistemas informativos RSS e outros, Públicos e Privados; </w:t>
      </w:r>
    </w:p>
    <w:p w14:paraId="67F98D6F">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15.4.7.29 Radares meteorológicos públicos e privados; </w:t>
      </w:r>
    </w:p>
    <w:p w14:paraId="6BB3CB5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15.4.7.30 Imagens de Satélites públicas e privadas; </w:t>
      </w:r>
    </w:p>
    <w:p w14:paraId="6B8CB7A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15.4.7.31 Sistemas de registro de incidentes, eventos ou alarmes de qualquer natureza; </w:t>
      </w:r>
    </w:p>
    <w:p w14:paraId="106E3CA4">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15.4.7.32 Premissas de Integração </w:t>
      </w:r>
    </w:p>
    <w:p w14:paraId="70191141">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15.4.7.33 As premissas e requisitos técnicos para as integrações com essas soluções serão fornecidas pela CONTRATANTE; </w:t>
      </w:r>
    </w:p>
    <w:p w14:paraId="0CB7D4DD">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15.4.7.34 As integrações deverão seguir as premissas de integração a seguir: </w:t>
      </w:r>
    </w:p>
    <w:p w14:paraId="036DEBA5">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15.4.7.35 Todo o fluxo de informação descrito acima deverá ser controlado e auditado pelo Barramento de Integração da Plataforma de integração e Tomada de Decisão; </w:t>
      </w:r>
    </w:p>
    <w:p w14:paraId="2AF5C5C0">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15.4.7.36 Por se tratar de soluções legadas que tem sua operação já em uso, as integrações sistêmicas com cada solução serão coordenadas pelos responsáveis técnicos da CONTRATANTE, visando a mediação entre o sistema e as soluções legadas para garantir o pleno funcionamento dos recursos. </w:t>
      </w:r>
    </w:p>
    <w:p w14:paraId="31B0220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15.4.7.37 Os recursos técnicos e convênios com soluções de terceiros para essas integrações, como requisitos de ambiente computacional, acesso à servidores, bancos de dados e conexão, serão de responsabilidade da CONTRATANTE, e deverá contar com o apoio técnico de suas equipes internas para garantir o intercâmbio de dados e o funcionamento integro da plataforma;</w:t>
      </w:r>
    </w:p>
    <w:p w14:paraId="4D173B9E">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15.4.7.38 O sistema ainda deverá ter a capacidade de trabalhar de modo integrado com uma série de tecnologias complementares, denominadas subsistemas, que poderão ser adquiridas ou desenvolvidas pela própria CONTRATANTE posteriormente, através da utilização do Barramento de Integração a ser fornecido; </w:t>
      </w:r>
    </w:p>
    <w:p w14:paraId="0F56EFA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15.4.7.39 Desta forma o sistema deverá ser expansível e possuir interfaces para integração com diversas tecnologias que poderão otimizar a operação da CONTRATANTE. Nenhuma integração, a menos daquelas elencadas neste item, estão contempladas no escopo do atual projeto; </w:t>
      </w:r>
    </w:p>
    <w:p w14:paraId="15345F37">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rPr>
          <w:color w:val="000000"/>
        </w:rPr>
      </w:pPr>
      <w:r>
        <w:rPr>
          <w:color w:val="000000"/>
        </w:rPr>
        <w:t xml:space="preserve">15.4.7.40 A integração deverá ser testada em conjunto com os responsáveis pelos outros sistemas antes de sua implantação, de modo a garantir a qualidade do serviço implementado; </w:t>
      </w:r>
    </w:p>
    <w:p w14:paraId="28FC8546">
      <w:pPr>
        <w:pBdr>
          <w:top w:val="none" w:color="auto" w:sz="0" w:space="0"/>
          <w:left w:val="none" w:color="auto" w:sz="0" w:space="0"/>
          <w:bottom w:val="none" w:color="auto" w:sz="0" w:space="0"/>
          <w:right w:val="none" w:color="auto" w:sz="0" w:space="0"/>
          <w:between w:val="none" w:color="auto" w:sz="0" w:space="0"/>
        </w:pBdr>
        <w:spacing w:before="228" w:line="230" w:lineRule="auto"/>
        <w:ind w:right="2" w:firstLine="2"/>
        <w:jc w:val="both"/>
      </w:pPr>
      <w:r>
        <w:rPr>
          <w:color w:val="000000"/>
        </w:rPr>
        <w:t xml:space="preserve">15.4.7.41 As centrais de alarmes devem se comunicar com a Solução e com as demais soluções interessadas na informação através do barramento de integração. As informações de situação enviadas pela Central de Alarmes e ferramentas de vídeo analítico esporadicamente e/ou após acionamento manual devem ser realizadas através do barramento de integração de forma transparente entre as soluções. </w:t>
      </w:r>
    </w:p>
    <w:p w14:paraId="595CDF3B">
      <w:pPr>
        <w:spacing w:before="240" w:after="240" w:line="360" w:lineRule="auto"/>
        <w:jc w:val="both"/>
        <w:outlineLvl w:val="1"/>
        <w:rPr>
          <w:b/>
          <w:bCs/>
        </w:rPr>
      </w:pPr>
      <w:r>
        <w:rPr>
          <w:b/>
          <w:bCs/>
        </w:rPr>
        <w:t>16. CRONOGRAMA FÍSICO DE EXECUÇÃO DOS SERVIÇOS</w:t>
      </w:r>
    </w:p>
    <w:p w14:paraId="49A2FB53">
      <w:pPr>
        <w:pStyle w:val="72"/>
        <w:suppressAutoHyphens/>
        <w:spacing w:before="240" w:after="240" w:line="360" w:lineRule="auto"/>
        <w:ind w:left="0"/>
        <w:jc w:val="both"/>
      </w:pPr>
      <w:r>
        <w:t xml:space="preserve">16.1. O cronograma Físico de Execução dos Serviços detalha as fases de implantação e prestação dos serviços ao longo do primeiro ano do contrato. A empresa Contratada deverá cumprir rigorosamente os prazos estabelecidos. O prazo total do contrato é de 12 (doze) meses, sendo que as atividades de locação, manutenção e suporte se estenderão por toda a vigência contratual, sendo o pagamento realizado de forma mensal. </w:t>
      </w:r>
    </w:p>
    <w:tbl>
      <w:tblPr>
        <w:tblStyle w:val="12"/>
        <w:tblW w:w="9766" w:type="dxa"/>
        <w:jc w:val="center"/>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4663"/>
        <w:gridCol w:w="1559"/>
        <w:gridCol w:w="1801"/>
        <w:gridCol w:w="1743"/>
      </w:tblGrid>
      <w:tr w14:paraId="302A802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548" w:hRule="atLeast"/>
          <w:jc w:val="center"/>
        </w:trPr>
        <w:tc>
          <w:tcPr>
            <w:tcW w:w="4663" w:type="dxa"/>
            <w:shd w:val="clear" w:color="auto" w:fill="BFBFBF"/>
            <w:vAlign w:val="center"/>
          </w:tcPr>
          <w:p w14:paraId="0C9069C9">
            <w:pPr>
              <w:widowControl w:val="0"/>
              <w:spacing w:line="360" w:lineRule="auto"/>
              <w:jc w:val="center"/>
              <w:rPr>
                <w:b/>
                <w:bCs/>
                <w:sz w:val="20"/>
                <w:szCs w:val="20"/>
              </w:rPr>
            </w:pPr>
            <w:r>
              <w:rPr>
                <w:b/>
                <w:bCs/>
                <w:sz w:val="20"/>
                <w:szCs w:val="20"/>
              </w:rPr>
              <w:t>Item</w:t>
            </w:r>
          </w:p>
        </w:tc>
        <w:tc>
          <w:tcPr>
            <w:tcW w:w="1559" w:type="dxa"/>
            <w:shd w:val="clear" w:color="auto" w:fill="BFBFBF"/>
            <w:vAlign w:val="center"/>
          </w:tcPr>
          <w:p w14:paraId="1B36F433">
            <w:pPr>
              <w:pStyle w:val="72"/>
              <w:widowControl w:val="0"/>
              <w:spacing w:after="240" w:line="360" w:lineRule="auto"/>
              <w:ind w:left="0"/>
              <w:jc w:val="center"/>
              <w:rPr>
                <w:b/>
                <w:sz w:val="20"/>
                <w:szCs w:val="20"/>
              </w:rPr>
            </w:pPr>
            <w:r>
              <w:rPr>
                <w:b/>
                <w:sz w:val="20"/>
                <w:szCs w:val="20"/>
              </w:rPr>
              <w:t>1º Mês</w:t>
            </w:r>
          </w:p>
        </w:tc>
        <w:tc>
          <w:tcPr>
            <w:tcW w:w="1801" w:type="dxa"/>
            <w:shd w:val="clear" w:color="auto" w:fill="BFBFBF"/>
            <w:vAlign w:val="center"/>
          </w:tcPr>
          <w:p w14:paraId="26431A80">
            <w:pPr>
              <w:pStyle w:val="72"/>
              <w:widowControl w:val="0"/>
              <w:spacing w:after="240" w:line="360" w:lineRule="auto"/>
              <w:ind w:left="0"/>
              <w:jc w:val="center"/>
              <w:rPr>
                <w:b/>
                <w:sz w:val="20"/>
                <w:szCs w:val="20"/>
              </w:rPr>
            </w:pPr>
            <w:r>
              <w:rPr>
                <w:b/>
                <w:sz w:val="20"/>
                <w:szCs w:val="20"/>
              </w:rPr>
              <w:t>2º Mês</w:t>
            </w:r>
          </w:p>
        </w:tc>
        <w:tc>
          <w:tcPr>
            <w:tcW w:w="1743" w:type="dxa"/>
            <w:shd w:val="clear" w:color="auto" w:fill="BFBFBF"/>
            <w:vAlign w:val="center"/>
          </w:tcPr>
          <w:p w14:paraId="775C6F65">
            <w:pPr>
              <w:pStyle w:val="72"/>
              <w:widowControl w:val="0"/>
              <w:spacing w:after="240" w:line="360" w:lineRule="auto"/>
              <w:ind w:left="0"/>
              <w:jc w:val="center"/>
              <w:rPr>
                <w:b/>
                <w:sz w:val="20"/>
                <w:szCs w:val="20"/>
              </w:rPr>
            </w:pPr>
            <w:r>
              <w:rPr>
                <w:b/>
                <w:sz w:val="20"/>
                <w:szCs w:val="20"/>
              </w:rPr>
              <w:t>3º ao 12º Mês</w:t>
            </w:r>
          </w:p>
        </w:tc>
      </w:tr>
      <w:tr w14:paraId="28A1F41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69837225">
            <w:pPr>
              <w:pStyle w:val="72"/>
              <w:widowControl w:val="0"/>
              <w:spacing w:after="240" w:line="360" w:lineRule="auto"/>
              <w:ind w:left="0"/>
              <w:rPr>
                <w:sz w:val="20"/>
                <w:szCs w:val="20"/>
              </w:rPr>
            </w:pPr>
            <w:r>
              <w:rPr>
                <w:sz w:val="20"/>
                <w:szCs w:val="20"/>
              </w:rPr>
              <w:t>Contratação de empresa especializada para operacionalização e gerenciamento de solução de fiscalização eletrônica de trânsito de avanço de sinal vermelho e parada sobre faixa de travessia de pedestres, não intrusivo doppler,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tc>
        <w:tc>
          <w:tcPr>
            <w:tcW w:w="1559" w:type="dxa"/>
            <w:vAlign w:val="center"/>
          </w:tcPr>
          <w:p w14:paraId="72BED9B1">
            <w:pPr>
              <w:pStyle w:val="72"/>
              <w:widowControl w:val="0"/>
              <w:spacing w:after="240" w:line="360" w:lineRule="auto"/>
              <w:ind w:left="0"/>
              <w:jc w:val="center"/>
              <w:rPr>
                <w:sz w:val="20"/>
                <w:szCs w:val="20"/>
              </w:rPr>
            </w:pPr>
            <w:r>
              <w:rPr>
                <w:sz w:val="20"/>
                <w:szCs w:val="20"/>
              </w:rPr>
              <w:t>R$ 132.940,00</w:t>
            </w:r>
          </w:p>
        </w:tc>
        <w:tc>
          <w:tcPr>
            <w:tcW w:w="1801" w:type="dxa"/>
            <w:vAlign w:val="center"/>
          </w:tcPr>
          <w:p w14:paraId="1EB25CDB">
            <w:pPr>
              <w:pStyle w:val="72"/>
              <w:widowControl w:val="0"/>
              <w:spacing w:after="240" w:line="360" w:lineRule="auto"/>
              <w:ind w:left="0"/>
              <w:jc w:val="center"/>
              <w:rPr>
                <w:sz w:val="20"/>
                <w:szCs w:val="20"/>
              </w:rPr>
            </w:pPr>
            <w:r>
              <w:rPr>
                <w:sz w:val="20"/>
                <w:szCs w:val="20"/>
              </w:rPr>
              <w:t>R$ 265.880,00</w:t>
            </w:r>
          </w:p>
        </w:tc>
        <w:tc>
          <w:tcPr>
            <w:tcW w:w="1743" w:type="dxa"/>
            <w:vAlign w:val="center"/>
          </w:tcPr>
          <w:p w14:paraId="3BA0F348">
            <w:pPr>
              <w:pStyle w:val="72"/>
              <w:widowControl w:val="0"/>
              <w:spacing w:after="240" w:line="360" w:lineRule="auto"/>
              <w:ind w:left="0"/>
              <w:jc w:val="center"/>
              <w:rPr>
                <w:sz w:val="20"/>
                <w:szCs w:val="20"/>
              </w:rPr>
            </w:pPr>
            <w:r>
              <w:rPr>
                <w:sz w:val="20"/>
                <w:szCs w:val="20"/>
              </w:rPr>
              <w:t>R$ 443.133,33</w:t>
            </w:r>
          </w:p>
        </w:tc>
      </w:tr>
      <w:tr w14:paraId="29DBFDD7">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681CDAA8">
            <w:pPr>
              <w:pStyle w:val="72"/>
              <w:widowControl w:val="0"/>
              <w:spacing w:after="240" w:line="360" w:lineRule="auto"/>
              <w:ind w:left="0"/>
              <w:rPr>
                <w:sz w:val="20"/>
                <w:szCs w:val="20"/>
              </w:rPr>
            </w:pPr>
            <w:r>
              <w:rPr>
                <w:sz w:val="20"/>
                <w:szCs w:val="20"/>
              </w:rPr>
              <w:t>Contratação de empresa especializada para operacionalização e gerenciamento de solução de fiscalização eletrônica de trânsito – radar de velocidade fixo com LAP não intrusivo doppler, através de prestação de serviços, incluso a instalação, operacionalização e a manutenção dos equipamentos, pelo prazo de 12 (doze) meses, conforme especificações técnicas.</w:t>
            </w:r>
          </w:p>
        </w:tc>
        <w:tc>
          <w:tcPr>
            <w:tcW w:w="1559" w:type="dxa"/>
            <w:vAlign w:val="center"/>
          </w:tcPr>
          <w:p w14:paraId="35FD5EDC">
            <w:pPr>
              <w:pStyle w:val="72"/>
              <w:widowControl w:val="0"/>
              <w:spacing w:after="240" w:line="360" w:lineRule="auto"/>
              <w:ind w:left="0"/>
              <w:jc w:val="center"/>
              <w:rPr>
                <w:sz w:val="20"/>
                <w:szCs w:val="20"/>
              </w:rPr>
            </w:pPr>
            <w:r>
              <w:rPr>
                <w:sz w:val="20"/>
                <w:szCs w:val="20"/>
              </w:rPr>
              <w:t>R$ 145.500,00</w:t>
            </w:r>
          </w:p>
        </w:tc>
        <w:tc>
          <w:tcPr>
            <w:tcW w:w="1801" w:type="dxa"/>
            <w:vAlign w:val="center"/>
          </w:tcPr>
          <w:p w14:paraId="542CF31D">
            <w:pPr>
              <w:pStyle w:val="72"/>
              <w:widowControl w:val="0"/>
              <w:spacing w:after="240" w:line="360" w:lineRule="auto"/>
              <w:ind w:left="0"/>
              <w:jc w:val="center"/>
              <w:rPr>
                <w:sz w:val="20"/>
                <w:szCs w:val="20"/>
              </w:rPr>
            </w:pPr>
            <w:r>
              <w:rPr>
                <w:sz w:val="20"/>
                <w:szCs w:val="20"/>
              </w:rPr>
              <w:t>R$ 291.000,00</w:t>
            </w:r>
          </w:p>
        </w:tc>
        <w:tc>
          <w:tcPr>
            <w:tcW w:w="1743" w:type="dxa"/>
            <w:vAlign w:val="center"/>
          </w:tcPr>
          <w:p w14:paraId="147D66C3">
            <w:pPr>
              <w:pStyle w:val="72"/>
              <w:widowControl w:val="0"/>
              <w:spacing w:after="240" w:line="360" w:lineRule="auto"/>
              <w:ind w:left="0"/>
              <w:jc w:val="center"/>
              <w:rPr>
                <w:sz w:val="20"/>
                <w:szCs w:val="20"/>
              </w:rPr>
            </w:pPr>
            <w:r>
              <w:rPr>
                <w:sz w:val="20"/>
                <w:szCs w:val="20"/>
              </w:rPr>
              <w:t>R$ 485.000,00</w:t>
            </w:r>
          </w:p>
        </w:tc>
      </w:tr>
      <w:tr w14:paraId="6CB5934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3D9195D0">
            <w:pPr>
              <w:pStyle w:val="72"/>
              <w:widowControl w:val="0"/>
              <w:spacing w:after="240" w:line="360" w:lineRule="auto"/>
              <w:ind w:left="0"/>
              <w:rPr>
                <w:sz w:val="20"/>
                <w:szCs w:val="20"/>
              </w:rPr>
            </w:pPr>
            <w:r>
              <w:rPr>
                <w:sz w:val="20"/>
                <w:szCs w:val="20"/>
              </w:rPr>
              <w:t>Fornecimento de sistema de controle e monitoramento de velocidade por meio de equipamento educativo não intrusivo doppler, com comunicação de internet via cabeamento fibra óptica, equipado com câmera para leitura OCR, alimentado por energia elétrica convencional, a ser instalado em um ponto fixo, projetado sobre a via (coluna e braço projetado em aço galvanizado), conforme especificações técnicas.</w:t>
            </w:r>
          </w:p>
        </w:tc>
        <w:tc>
          <w:tcPr>
            <w:tcW w:w="1559" w:type="dxa"/>
            <w:vAlign w:val="center"/>
          </w:tcPr>
          <w:p w14:paraId="152D147F">
            <w:pPr>
              <w:pStyle w:val="72"/>
              <w:widowControl w:val="0"/>
              <w:spacing w:after="240" w:line="360" w:lineRule="auto"/>
              <w:ind w:left="0"/>
              <w:jc w:val="center"/>
              <w:rPr>
                <w:sz w:val="20"/>
                <w:szCs w:val="20"/>
              </w:rPr>
            </w:pPr>
            <w:r>
              <w:rPr>
                <w:sz w:val="20"/>
                <w:szCs w:val="20"/>
              </w:rPr>
              <w:t>R$ 24.466,67</w:t>
            </w:r>
          </w:p>
        </w:tc>
        <w:tc>
          <w:tcPr>
            <w:tcW w:w="1801" w:type="dxa"/>
            <w:vAlign w:val="center"/>
          </w:tcPr>
          <w:p w14:paraId="7D780DFF">
            <w:pPr>
              <w:pStyle w:val="72"/>
              <w:widowControl w:val="0"/>
              <w:spacing w:after="240" w:line="360" w:lineRule="auto"/>
              <w:ind w:left="0"/>
              <w:jc w:val="center"/>
              <w:rPr>
                <w:sz w:val="20"/>
                <w:szCs w:val="20"/>
              </w:rPr>
            </w:pPr>
            <w:r>
              <w:rPr>
                <w:sz w:val="20"/>
                <w:szCs w:val="20"/>
              </w:rPr>
              <w:t>R$ 48.933,33</w:t>
            </w:r>
          </w:p>
        </w:tc>
        <w:tc>
          <w:tcPr>
            <w:tcW w:w="1743" w:type="dxa"/>
            <w:vAlign w:val="center"/>
          </w:tcPr>
          <w:p w14:paraId="01BDE2E1">
            <w:pPr>
              <w:pStyle w:val="72"/>
              <w:widowControl w:val="0"/>
              <w:spacing w:after="240" w:line="360" w:lineRule="auto"/>
              <w:ind w:left="0"/>
              <w:jc w:val="center"/>
              <w:rPr>
                <w:sz w:val="20"/>
                <w:szCs w:val="20"/>
              </w:rPr>
            </w:pPr>
            <w:r>
              <w:rPr>
                <w:sz w:val="20"/>
                <w:szCs w:val="20"/>
              </w:rPr>
              <w:t>R$ 48.933,33</w:t>
            </w:r>
          </w:p>
        </w:tc>
      </w:tr>
      <w:tr w14:paraId="7E02A81D">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74884DC8">
            <w:pPr>
              <w:pStyle w:val="72"/>
              <w:widowControl w:val="0"/>
              <w:spacing w:after="240" w:line="360" w:lineRule="auto"/>
              <w:ind w:left="0"/>
              <w:rPr>
                <w:sz w:val="20"/>
                <w:szCs w:val="20"/>
              </w:rPr>
            </w:pPr>
            <w:r>
              <w:rPr>
                <w:sz w:val="20"/>
                <w:szCs w:val="20"/>
              </w:rPr>
              <w:t>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tc>
        <w:tc>
          <w:tcPr>
            <w:tcW w:w="1559" w:type="dxa"/>
            <w:vAlign w:val="center"/>
          </w:tcPr>
          <w:p w14:paraId="2C1CF54F">
            <w:pPr>
              <w:pStyle w:val="72"/>
              <w:widowControl w:val="0"/>
              <w:spacing w:after="240" w:line="360" w:lineRule="auto"/>
              <w:ind w:left="0"/>
              <w:jc w:val="center"/>
              <w:rPr>
                <w:sz w:val="20"/>
                <w:szCs w:val="20"/>
              </w:rPr>
            </w:pPr>
            <w:r>
              <w:rPr>
                <w:sz w:val="20"/>
                <w:szCs w:val="20"/>
              </w:rPr>
              <w:t>R$ 71.424,00</w:t>
            </w:r>
          </w:p>
        </w:tc>
        <w:tc>
          <w:tcPr>
            <w:tcW w:w="1801" w:type="dxa"/>
            <w:vAlign w:val="center"/>
          </w:tcPr>
          <w:p w14:paraId="6DFB90B8">
            <w:pPr>
              <w:pStyle w:val="72"/>
              <w:widowControl w:val="0"/>
              <w:spacing w:after="240" w:line="360" w:lineRule="auto"/>
              <w:ind w:left="0"/>
              <w:jc w:val="center"/>
              <w:rPr>
                <w:sz w:val="20"/>
                <w:szCs w:val="20"/>
              </w:rPr>
            </w:pPr>
            <w:r>
              <w:rPr>
                <w:sz w:val="20"/>
                <w:szCs w:val="20"/>
              </w:rPr>
              <w:t>R$ 142.848,00</w:t>
            </w:r>
          </w:p>
        </w:tc>
        <w:tc>
          <w:tcPr>
            <w:tcW w:w="1743" w:type="dxa"/>
            <w:vAlign w:val="center"/>
          </w:tcPr>
          <w:p w14:paraId="66EBC573">
            <w:pPr>
              <w:pStyle w:val="72"/>
              <w:widowControl w:val="0"/>
              <w:spacing w:after="240" w:line="360" w:lineRule="auto"/>
              <w:ind w:left="0"/>
              <w:jc w:val="center"/>
              <w:rPr>
                <w:sz w:val="20"/>
                <w:szCs w:val="20"/>
              </w:rPr>
            </w:pPr>
            <w:r>
              <w:rPr>
                <w:sz w:val="20"/>
                <w:szCs w:val="20"/>
              </w:rPr>
              <w:t>R$ 238.080,00</w:t>
            </w:r>
          </w:p>
        </w:tc>
      </w:tr>
      <w:tr w14:paraId="78ECD32D">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042617D1">
            <w:pPr>
              <w:pStyle w:val="72"/>
              <w:widowControl w:val="0"/>
              <w:spacing w:after="240" w:line="360" w:lineRule="auto"/>
              <w:ind w:left="0"/>
              <w:rPr>
                <w:sz w:val="20"/>
                <w:szCs w:val="20"/>
              </w:rPr>
            </w:pPr>
            <w:r>
              <w:rPr>
                <w:sz w:val="20"/>
                <w:szCs w:val="20"/>
              </w:rPr>
              <w:t>Disponibilizar plataforma integrada de processamento de autos de infrações, físicos e eletrônicos; devendo permitir a integração de talonários eletrônicos de outras empresas; devendo permitir a consulta de infrações, recursos, e informações pertinentes ao cidadão via web; devendo permitir integração a plataformas de outras entidades, por exemplo: Detran ou SERPRO</w:t>
            </w:r>
          </w:p>
        </w:tc>
        <w:tc>
          <w:tcPr>
            <w:tcW w:w="1559" w:type="dxa"/>
            <w:vAlign w:val="center"/>
          </w:tcPr>
          <w:p w14:paraId="446C5F81">
            <w:pPr>
              <w:pStyle w:val="72"/>
              <w:widowControl w:val="0"/>
              <w:spacing w:after="240" w:line="360" w:lineRule="auto"/>
              <w:ind w:left="0"/>
              <w:jc w:val="center"/>
              <w:rPr>
                <w:sz w:val="20"/>
                <w:szCs w:val="20"/>
              </w:rPr>
            </w:pPr>
            <w:r>
              <w:rPr>
                <w:sz w:val="20"/>
                <w:szCs w:val="20"/>
              </w:rPr>
              <w:t>R$ 0,00</w:t>
            </w:r>
          </w:p>
        </w:tc>
        <w:tc>
          <w:tcPr>
            <w:tcW w:w="1801" w:type="dxa"/>
            <w:vAlign w:val="center"/>
          </w:tcPr>
          <w:p w14:paraId="0C98A2A5">
            <w:pPr>
              <w:pStyle w:val="72"/>
              <w:widowControl w:val="0"/>
              <w:spacing w:after="240" w:line="360" w:lineRule="auto"/>
              <w:ind w:left="0"/>
              <w:jc w:val="center"/>
              <w:rPr>
                <w:sz w:val="20"/>
                <w:szCs w:val="20"/>
              </w:rPr>
            </w:pPr>
            <w:r>
              <w:rPr>
                <w:sz w:val="20"/>
                <w:szCs w:val="20"/>
              </w:rPr>
              <w:t>R$ 79.941,01</w:t>
            </w:r>
          </w:p>
        </w:tc>
        <w:tc>
          <w:tcPr>
            <w:tcW w:w="1743" w:type="dxa"/>
            <w:vAlign w:val="center"/>
          </w:tcPr>
          <w:p w14:paraId="56A4520E">
            <w:pPr>
              <w:pStyle w:val="72"/>
              <w:widowControl w:val="0"/>
              <w:spacing w:after="240" w:line="360" w:lineRule="auto"/>
              <w:ind w:left="0"/>
              <w:jc w:val="center"/>
              <w:rPr>
                <w:sz w:val="20"/>
                <w:szCs w:val="20"/>
              </w:rPr>
            </w:pPr>
            <w:r>
              <w:rPr>
                <w:sz w:val="20"/>
                <w:szCs w:val="20"/>
              </w:rPr>
              <w:t>R$ 79.941,01</w:t>
            </w:r>
          </w:p>
        </w:tc>
      </w:tr>
      <w:tr w14:paraId="2333268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20CD3191">
            <w:pPr>
              <w:pStyle w:val="72"/>
              <w:widowControl w:val="0"/>
              <w:spacing w:after="240" w:line="360" w:lineRule="auto"/>
              <w:ind w:left="0"/>
              <w:rPr>
                <w:sz w:val="20"/>
                <w:szCs w:val="20"/>
              </w:rPr>
            </w:pPr>
            <w:r>
              <w:rPr>
                <w:sz w:val="20"/>
                <w:szCs w:val="20"/>
              </w:rPr>
              <w:t>Sistema - Anti Jammer</w:t>
            </w:r>
          </w:p>
        </w:tc>
        <w:tc>
          <w:tcPr>
            <w:tcW w:w="1559" w:type="dxa"/>
            <w:vAlign w:val="center"/>
          </w:tcPr>
          <w:p w14:paraId="7AF35706">
            <w:pPr>
              <w:pStyle w:val="72"/>
              <w:widowControl w:val="0"/>
              <w:spacing w:after="240" w:line="360" w:lineRule="auto"/>
              <w:ind w:left="0"/>
              <w:jc w:val="center"/>
              <w:rPr>
                <w:sz w:val="20"/>
                <w:szCs w:val="20"/>
              </w:rPr>
            </w:pPr>
            <w:r>
              <w:rPr>
                <w:sz w:val="20"/>
                <w:szCs w:val="20"/>
              </w:rPr>
              <w:t>R$ 15.912,00</w:t>
            </w:r>
          </w:p>
        </w:tc>
        <w:tc>
          <w:tcPr>
            <w:tcW w:w="1801" w:type="dxa"/>
            <w:vAlign w:val="center"/>
          </w:tcPr>
          <w:p w14:paraId="645E68BB">
            <w:pPr>
              <w:pStyle w:val="72"/>
              <w:widowControl w:val="0"/>
              <w:spacing w:after="240" w:line="360" w:lineRule="auto"/>
              <w:ind w:left="0"/>
              <w:jc w:val="center"/>
              <w:rPr>
                <w:sz w:val="20"/>
                <w:szCs w:val="20"/>
              </w:rPr>
            </w:pPr>
            <w:r>
              <w:rPr>
                <w:sz w:val="20"/>
                <w:szCs w:val="20"/>
              </w:rPr>
              <w:t>R$ 31.824,00</w:t>
            </w:r>
          </w:p>
        </w:tc>
        <w:tc>
          <w:tcPr>
            <w:tcW w:w="1743" w:type="dxa"/>
            <w:vAlign w:val="center"/>
          </w:tcPr>
          <w:p w14:paraId="14E4A8F9">
            <w:pPr>
              <w:pStyle w:val="72"/>
              <w:widowControl w:val="0"/>
              <w:spacing w:after="240" w:line="360" w:lineRule="auto"/>
              <w:ind w:left="0"/>
              <w:jc w:val="center"/>
              <w:rPr>
                <w:sz w:val="20"/>
                <w:szCs w:val="20"/>
              </w:rPr>
            </w:pPr>
            <w:r>
              <w:rPr>
                <w:sz w:val="20"/>
                <w:szCs w:val="20"/>
              </w:rPr>
              <w:t>R$ 53.040,00</w:t>
            </w:r>
          </w:p>
        </w:tc>
      </w:tr>
      <w:tr w14:paraId="17BEED5A">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21A24D0E">
            <w:pPr>
              <w:pStyle w:val="72"/>
              <w:widowControl w:val="0"/>
              <w:spacing w:after="240" w:line="360" w:lineRule="auto"/>
              <w:ind w:left="0"/>
              <w:rPr>
                <w:sz w:val="20"/>
                <w:szCs w:val="20"/>
              </w:rPr>
            </w:pPr>
            <w:r>
              <w:rPr>
                <w:sz w:val="20"/>
                <w:szCs w:val="20"/>
              </w:rPr>
              <w:t>Sistema de Fluxo Veicular e Estatística On-Line</w:t>
            </w:r>
          </w:p>
        </w:tc>
        <w:tc>
          <w:tcPr>
            <w:tcW w:w="1559" w:type="dxa"/>
            <w:vAlign w:val="center"/>
          </w:tcPr>
          <w:p w14:paraId="6A72D97E">
            <w:pPr>
              <w:pStyle w:val="72"/>
              <w:widowControl w:val="0"/>
              <w:spacing w:after="240" w:line="360" w:lineRule="auto"/>
              <w:ind w:left="0"/>
              <w:jc w:val="center"/>
              <w:rPr>
                <w:sz w:val="20"/>
                <w:szCs w:val="20"/>
              </w:rPr>
            </w:pPr>
            <w:r>
              <w:rPr>
                <w:sz w:val="20"/>
                <w:szCs w:val="20"/>
              </w:rPr>
              <w:t>R$ 0,00</w:t>
            </w:r>
          </w:p>
        </w:tc>
        <w:tc>
          <w:tcPr>
            <w:tcW w:w="1801" w:type="dxa"/>
            <w:vAlign w:val="center"/>
          </w:tcPr>
          <w:p w14:paraId="530E9495">
            <w:pPr>
              <w:pStyle w:val="72"/>
              <w:widowControl w:val="0"/>
              <w:spacing w:after="240" w:line="360" w:lineRule="auto"/>
              <w:ind w:left="0"/>
              <w:jc w:val="center"/>
              <w:rPr>
                <w:sz w:val="20"/>
                <w:szCs w:val="20"/>
              </w:rPr>
            </w:pPr>
            <w:r>
              <w:rPr>
                <w:sz w:val="20"/>
                <w:szCs w:val="20"/>
              </w:rPr>
              <w:t>R$ 9.800,00</w:t>
            </w:r>
          </w:p>
        </w:tc>
        <w:tc>
          <w:tcPr>
            <w:tcW w:w="1743" w:type="dxa"/>
            <w:vAlign w:val="center"/>
          </w:tcPr>
          <w:p w14:paraId="716701DA">
            <w:pPr>
              <w:pStyle w:val="72"/>
              <w:widowControl w:val="0"/>
              <w:spacing w:after="240" w:line="360" w:lineRule="auto"/>
              <w:ind w:left="0"/>
              <w:jc w:val="center"/>
              <w:rPr>
                <w:sz w:val="20"/>
                <w:szCs w:val="20"/>
              </w:rPr>
            </w:pPr>
            <w:r>
              <w:rPr>
                <w:sz w:val="20"/>
                <w:szCs w:val="20"/>
              </w:rPr>
              <w:t>R$ 9.800,00</w:t>
            </w:r>
          </w:p>
        </w:tc>
      </w:tr>
      <w:tr w14:paraId="5B78AC0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7A92305E">
            <w:pPr>
              <w:pStyle w:val="72"/>
              <w:widowControl w:val="0"/>
              <w:spacing w:after="240" w:line="360" w:lineRule="auto"/>
              <w:ind w:left="0"/>
              <w:rPr>
                <w:sz w:val="20"/>
                <w:szCs w:val="20"/>
              </w:rPr>
            </w:pPr>
            <w:r>
              <w:rPr>
                <w:sz w:val="20"/>
                <w:szCs w:val="20"/>
              </w:rPr>
              <w:t>Sistema de inteligência Analítica - BI</w:t>
            </w:r>
          </w:p>
        </w:tc>
        <w:tc>
          <w:tcPr>
            <w:tcW w:w="1559" w:type="dxa"/>
            <w:vAlign w:val="center"/>
          </w:tcPr>
          <w:p w14:paraId="55567710">
            <w:pPr>
              <w:pStyle w:val="72"/>
              <w:widowControl w:val="0"/>
              <w:spacing w:after="240" w:line="360" w:lineRule="auto"/>
              <w:ind w:left="0"/>
              <w:jc w:val="center"/>
              <w:rPr>
                <w:sz w:val="20"/>
                <w:szCs w:val="20"/>
              </w:rPr>
            </w:pPr>
            <w:r>
              <w:rPr>
                <w:sz w:val="20"/>
                <w:szCs w:val="20"/>
              </w:rPr>
              <w:t>R$ 0,00</w:t>
            </w:r>
          </w:p>
        </w:tc>
        <w:tc>
          <w:tcPr>
            <w:tcW w:w="1801" w:type="dxa"/>
            <w:vAlign w:val="center"/>
          </w:tcPr>
          <w:p w14:paraId="712296D2">
            <w:pPr>
              <w:pStyle w:val="72"/>
              <w:widowControl w:val="0"/>
              <w:spacing w:after="240" w:line="360" w:lineRule="auto"/>
              <w:ind w:left="0"/>
              <w:jc w:val="center"/>
              <w:rPr>
                <w:sz w:val="20"/>
                <w:szCs w:val="20"/>
              </w:rPr>
            </w:pPr>
            <w:r>
              <w:rPr>
                <w:sz w:val="20"/>
                <w:szCs w:val="20"/>
              </w:rPr>
              <w:t>R$ 5.091,71</w:t>
            </w:r>
          </w:p>
        </w:tc>
        <w:tc>
          <w:tcPr>
            <w:tcW w:w="1743" w:type="dxa"/>
            <w:vAlign w:val="center"/>
          </w:tcPr>
          <w:p w14:paraId="5700F9B6">
            <w:pPr>
              <w:pStyle w:val="72"/>
              <w:widowControl w:val="0"/>
              <w:spacing w:after="240" w:line="360" w:lineRule="auto"/>
              <w:ind w:left="0"/>
              <w:jc w:val="center"/>
              <w:rPr>
                <w:sz w:val="20"/>
                <w:szCs w:val="20"/>
              </w:rPr>
            </w:pPr>
            <w:r>
              <w:rPr>
                <w:sz w:val="20"/>
                <w:szCs w:val="20"/>
              </w:rPr>
              <w:t>R$ 5.091,71</w:t>
            </w:r>
          </w:p>
        </w:tc>
      </w:tr>
      <w:tr w14:paraId="4908834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jc w:val="center"/>
        </w:trPr>
        <w:tc>
          <w:tcPr>
            <w:tcW w:w="4663" w:type="dxa"/>
            <w:vAlign w:val="center"/>
          </w:tcPr>
          <w:p w14:paraId="31BD9174">
            <w:pPr>
              <w:pStyle w:val="72"/>
              <w:widowControl w:val="0"/>
              <w:spacing w:after="240" w:line="360" w:lineRule="auto"/>
              <w:ind w:left="0"/>
              <w:rPr>
                <w:sz w:val="20"/>
                <w:szCs w:val="20"/>
              </w:rPr>
            </w:pPr>
            <w:r>
              <w:rPr>
                <w:sz w:val="20"/>
                <w:szCs w:val="20"/>
              </w:rPr>
              <w:t>Sistema Integrador para Gerenciamento de Imagens e Processamento das Informações Geradas</w:t>
            </w:r>
          </w:p>
        </w:tc>
        <w:tc>
          <w:tcPr>
            <w:tcW w:w="1559" w:type="dxa"/>
            <w:vAlign w:val="center"/>
          </w:tcPr>
          <w:p w14:paraId="5081CC6E">
            <w:pPr>
              <w:pStyle w:val="72"/>
              <w:widowControl w:val="0"/>
              <w:spacing w:after="240" w:line="360" w:lineRule="auto"/>
              <w:ind w:left="0"/>
              <w:jc w:val="center"/>
              <w:rPr>
                <w:sz w:val="20"/>
                <w:szCs w:val="20"/>
              </w:rPr>
            </w:pPr>
            <w:r>
              <w:rPr>
                <w:sz w:val="20"/>
                <w:szCs w:val="20"/>
              </w:rPr>
              <w:t>R$ 0,00</w:t>
            </w:r>
          </w:p>
        </w:tc>
        <w:tc>
          <w:tcPr>
            <w:tcW w:w="1801" w:type="dxa"/>
            <w:vAlign w:val="center"/>
          </w:tcPr>
          <w:p w14:paraId="1E8C8822">
            <w:pPr>
              <w:pStyle w:val="72"/>
              <w:widowControl w:val="0"/>
              <w:spacing w:after="240" w:line="360" w:lineRule="auto"/>
              <w:ind w:left="0"/>
              <w:jc w:val="center"/>
              <w:rPr>
                <w:sz w:val="20"/>
                <w:szCs w:val="20"/>
              </w:rPr>
            </w:pPr>
            <w:r>
              <w:rPr>
                <w:sz w:val="20"/>
                <w:szCs w:val="20"/>
              </w:rPr>
              <w:t>R$ 43.000,00</w:t>
            </w:r>
          </w:p>
        </w:tc>
        <w:tc>
          <w:tcPr>
            <w:tcW w:w="1743" w:type="dxa"/>
            <w:vAlign w:val="center"/>
          </w:tcPr>
          <w:p w14:paraId="104F309C">
            <w:pPr>
              <w:pStyle w:val="72"/>
              <w:widowControl w:val="0"/>
              <w:spacing w:after="240" w:line="360" w:lineRule="auto"/>
              <w:ind w:left="0"/>
              <w:jc w:val="center"/>
              <w:rPr>
                <w:sz w:val="20"/>
                <w:szCs w:val="20"/>
              </w:rPr>
            </w:pPr>
            <w:r>
              <w:rPr>
                <w:sz w:val="20"/>
                <w:szCs w:val="20"/>
              </w:rPr>
              <w:t>R$ 43.000,00</w:t>
            </w:r>
          </w:p>
        </w:tc>
      </w:tr>
    </w:tbl>
    <w:p w14:paraId="31B65455">
      <w:pPr>
        <w:pStyle w:val="72"/>
        <w:spacing w:before="240" w:after="240" w:line="259" w:lineRule="auto"/>
        <w:ind w:left="0"/>
        <w:jc w:val="both"/>
        <w:outlineLvl w:val="1"/>
        <w:rPr>
          <w:b/>
          <w:bCs/>
        </w:rPr>
      </w:pPr>
      <w:r>
        <w:rPr>
          <w:b/>
          <w:bCs/>
        </w:rPr>
        <w:t>17. MODELO DE EXECUÇÃO DO OBJETO</w:t>
      </w:r>
    </w:p>
    <w:p w14:paraId="2E789CFC">
      <w:pPr>
        <w:pStyle w:val="72"/>
        <w:spacing w:before="240" w:after="240" w:line="259" w:lineRule="auto"/>
        <w:jc w:val="both"/>
        <w:rPr>
          <w:b/>
          <w:bCs/>
        </w:rPr>
      </w:pPr>
    </w:p>
    <w:p w14:paraId="3ACE20B6">
      <w:pPr>
        <w:spacing w:before="240" w:after="240" w:line="360" w:lineRule="auto"/>
        <w:jc w:val="both"/>
      </w:pPr>
      <w:r>
        <w:t>17.1. A execução dos serviços será realizada de forma integral, abrangendo todas as etapas e atividades necessárias para a plena operacionalização do Sistema de Fiscalização Eletrônica.</w:t>
      </w:r>
    </w:p>
    <w:p w14:paraId="10C9CC2C">
      <w:pPr>
        <w:pStyle w:val="72"/>
        <w:numPr>
          <w:ilvl w:val="1"/>
          <w:numId w:val="22"/>
        </w:numPr>
        <w:spacing w:before="240" w:after="240" w:line="360" w:lineRule="auto"/>
        <w:jc w:val="both"/>
      </w:pPr>
      <w:r>
        <w:rPr>
          <w:b/>
          <w:bCs/>
        </w:rPr>
        <w:t>Ordem de Execução de Serviços (OES)</w:t>
      </w:r>
    </w:p>
    <w:p w14:paraId="28AA7699">
      <w:pPr>
        <w:spacing w:before="240" w:after="240" w:line="360" w:lineRule="auto"/>
        <w:jc w:val="both"/>
      </w:pPr>
      <w:r>
        <w:t>17.2.1. A solicitação para execução dos serviços será formalizada por meio da Ordem de Execução de Serviços (OES), que detalhará os serviços a serem executados, em conformidade com o objeto da licitação, e suas quantidades. O prazo máximo para início da execução será de 05 (cinco) dias úteis após a emissão da OES.</w:t>
      </w:r>
    </w:p>
    <w:p w14:paraId="2E94916B">
      <w:pPr>
        <w:pStyle w:val="72"/>
        <w:numPr>
          <w:ilvl w:val="1"/>
          <w:numId w:val="23"/>
        </w:numPr>
        <w:spacing w:before="240" w:after="240" w:line="360" w:lineRule="auto"/>
        <w:contextualSpacing w:val="0"/>
        <w:jc w:val="both"/>
      </w:pPr>
      <w:r>
        <w:rPr>
          <w:b/>
          <w:bCs/>
        </w:rPr>
        <w:t>Comunicação da OES</w:t>
      </w:r>
    </w:p>
    <w:p w14:paraId="149B7470">
      <w:pPr>
        <w:spacing w:before="240" w:after="240" w:line="360" w:lineRule="auto"/>
        <w:jc w:val="both"/>
      </w:pPr>
      <w:r>
        <w:t>17.3.1. A OES será encaminhada à CONTRATADA por correio eletrônico ou meio previamente acordado e deverá ser assinada pelo setor competente da CONTRATANTE.</w:t>
      </w:r>
    </w:p>
    <w:p w14:paraId="2ACEB9DE">
      <w:pPr>
        <w:pStyle w:val="72"/>
        <w:numPr>
          <w:ilvl w:val="1"/>
          <w:numId w:val="22"/>
        </w:numPr>
        <w:spacing w:before="240" w:after="240" w:line="360" w:lineRule="auto"/>
        <w:contextualSpacing w:val="0"/>
        <w:jc w:val="both"/>
      </w:pPr>
      <w:r>
        <w:rPr>
          <w:b/>
          <w:bCs/>
        </w:rPr>
        <w:t>Conformidade e Rejeição de Serviços</w:t>
      </w:r>
    </w:p>
    <w:p w14:paraId="57BD3092">
      <w:pPr>
        <w:pStyle w:val="72"/>
        <w:numPr>
          <w:ilvl w:val="2"/>
          <w:numId w:val="22"/>
        </w:numPr>
        <w:spacing w:before="240" w:after="240" w:line="360" w:lineRule="auto"/>
        <w:ind w:left="0" w:firstLine="0"/>
        <w:contextualSpacing w:val="0"/>
        <w:jc w:val="both"/>
      </w:pPr>
      <w:r>
        <w:t>A CONTRATADA deverá executar estritamente os serviços discriminados no Pedido de Licitação, Nota de Empenho e OES. Serviços em desacordo poderão ser rejeitados, total ou parcialmente, pela CONTRATANTE.</w:t>
      </w:r>
    </w:p>
    <w:p w14:paraId="0FFD305A">
      <w:pPr>
        <w:pStyle w:val="72"/>
        <w:numPr>
          <w:ilvl w:val="1"/>
          <w:numId w:val="22"/>
        </w:numPr>
        <w:spacing w:before="240" w:after="240" w:line="360" w:lineRule="auto"/>
        <w:ind w:left="0" w:firstLine="0"/>
        <w:contextualSpacing w:val="0"/>
        <w:jc w:val="both"/>
      </w:pPr>
      <w:r>
        <w:rPr>
          <w:b/>
          <w:bCs/>
        </w:rPr>
        <w:t>Instalação e Recebimento de Equipamentos</w:t>
      </w:r>
    </w:p>
    <w:p w14:paraId="7F34A1F7">
      <w:pPr>
        <w:pStyle w:val="72"/>
        <w:numPr>
          <w:ilvl w:val="2"/>
          <w:numId w:val="22"/>
        </w:numPr>
        <w:spacing w:before="240" w:after="240" w:line="360" w:lineRule="auto"/>
        <w:ind w:left="0" w:firstLine="0"/>
        <w:contextualSpacing w:val="0"/>
        <w:jc w:val="both"/>
      </w:pPr>
      <w:r>
        <w:t>Os equipamentos devem ser compatíveis com os locais indicados pela SEMOB. A instalação será acompanhada por servidor responsável da CONTRATANTE e o recebimento será feito pela Comissão de Fiscalização designada. A quantidade instalada deverá corresponder à especificada na OES.</w:t>
      </w:r>
    </w:p>
    <w:p w14:paraId="2136868E">
      <w:pPr>
        <w:pStyle w:val="72"/>
        <w:numPr>
          <w:ilvl w:val="1"/>
          <w:numId w:val="22"/>
        </w:numPr>
        <w:spacing w:before="240" w:after="240" w:line="360" w:lineRule="auto"/>
        <w:ind w:left="0" w:firstLine="0"/>
        <w:contextualSpacing w:val="0"/>
        <w:jc w:val="both"/>
      </w:pPr>
      <w:r>
        <w:rPr>
          <w:b/>
          <w:bCs/>
        </w:rPr>
        <w:t>Horário de Instalação</w:t>
      </w:r>
    </w:p>
    <w:p w14:paraId="43D4B8F2">
      <w:pPr>
        <w:pStyle w:val="72"/>
        <w:numPr>
          <w:ilvl w:val="2"/>
          <w:numId w:val="22"/>
        </w:numPr>
        <w:spacing w:before="240" w:after="240" w:line="360" w:lineRule="auto"/>
        <w:ind w:left="0" w:firstLine="0"/>
        <w:contextualSpacing w:val="0"/>
        <w:jc w:val="both"/>
      </w:pPr>
      <w:r>
        <w:t>A instalação ocorrerá no horário de expediente da Prefeitura de Rondonópolis, das 07h00 às 18h00 ou 22h às 05h, de Segunda a Sábado, exceto feriados e pontos facultativos.</w:t>
      </w:r>
    </w:p>
    <w:p w14:paraId="52C80111">
      <w:pPr>
        <w:pStyle w:val="72"/>
        <w:numPr>
          <w:ilvl w:val="1"/>
          <w:numId w:val="22"/>
        </w:numPr>
        <w:spacing w:before="240" w:after="240" w:line="360" w:lineRule="auto"/>
        <w:ind w:left="0" w:firstLine="0"/>
        <w:contextualSpacing w:val="0"/>
        <w:jc w:val="both"/>
      </w:pPr>
      <w:r>
        <w:rPr>
          <w:b/>
          <w:bCs/>
        </w:rPr>
        <w:t>Custos de Logística e Instalação</w:t>
      </w:r>
    </w:p>
    <w:p w14:paraId="5DDDCB41">
      <w:pPr>
        <w:pStyle w:val="72"/>
        <w:numPr>
          <w:ilvl w:val="2"/>
          <w:numId w:val="22"/>
        </w:numPr>
        <w:spacing w:before="240" w:after="240" w:line="360" w:lineRule="auto"/>
        <w:ind w:left="0" w:firstLine="0"/>
        <w:contextualSpacing w:val="0"/>
        <w:jc w:val="both"/>
      </w:pPr>
      <w:r>
        <w:t>A CONTRATADA será responsável por todas as despesas relativas ao envio, transporte, carga, descarga e instalação dos equipamentos nos locais designados.</w:t>
      </w:r>
    </w:p>
    <w:p w14:paraId="20CB73E7">
      <w:pPr>
        <w:pStyle w:val="72"/>
        <w:numPr>
          <w:ilvl w:val="1"/>
          <w:numId w:val="22"/>
        </w:numPr>
        <w:spacing w:before="240" w:after="240" w:line="360" w:lineRule="auto"/>
        <w:ind w:left="0" w:firstLine="0"/>
        <w:contextualSpacing w:val="0"/>
        <w:jc w:val="both"/>
      </w:pPr>
      <w:r>
        <w:rPr>
          <w:b/>
          <w:bCs/>
        </w:rPr>
        <w:t>Penalidades por Não Cumprimento</w:t>
      </w:r>
    </w:p>
    <w:p w14:paraId="382A1EFD">
      <w:pPr>
        <w:pStyle w:val="72"/>
        <w:numPr>
          <w:ilvl w:val="2"/>
          <w:numId w:val="22"/>
        </w:numPr>
        <w:spacing w:before="240" w:after="240" w:line="360" w:lineRule="auto"/>
        <w:ind w:left="0" w:firstLine="0"/>
        <w:contextualSpacing w:val="0"/>
        <w:jc w:val="both"/>
      </w:pPr>
      <w:r>
        <w:t>O descumprimento das disposições deste Termo sujeitará a CONTRATADA às penalidades contratuais aplicáveis.</w:t>
      </w:r>
    </w:p>
    <w:p w14:paraId="42F3A0FC">
      <w:pPr>
        <w:pStyle w:val="72"/>
        <w:numPr>
          <w:ilvl w:val="1"/>
          <w:numId w:val="22"/>
        </w:numPr>
        <w:spacing w:before="240" w:after="240" w:line="360" w:lineRule="auto"/>
        <w:ind w:left="0" w:firstLine="0"/>
        <w:contextualSpacing w:val="0"/>
        <w:jc w:val="both"/>
      </w:pPr>
      <w:r>
        <w:rPr>
          <w:b/>
          <w:bCs/>
        </w:rPr>
        <w:t>Justificativa para Atraso na Entrega</w:t>
      </w:r>
    </w:p>
    <w:p w14:paraId="1773AB8E">
      <w:pPr>
        <w:pStyle w:val="72"/>
        <w:numPr>
          <w:ilvl w:val="2"/>
          <w:numId w:val="22"/>
        </w:numPr>
        <w:spacing w:before="240" w:after="240" w:line="360" w:lineRule="auto"/>
        <w:ind w:left="0" w:firstLine="0"/>
        <w:contextualSpacing w:val="0"/>
        <w:jc w:val="both"/>
      </w:pPr>
      <w:r>
        <w:t>Caso haja previsão de atraso, a CONTRATADA deverá comunicar por escrito antes do vencimento do prazo. A aceitação da justificativa cabe à CONTRATANTE. O atraso poderá implicar penalidades, mesmo com justificativa.</w:t>
      </w:r>
    </w:p>
    <w:p w14:paraId="4B892F6A">
      <w:pPr>
        <w:pStyle w:val="72"/>
        <w:numPr>
          <w:ilvl w:val="1"/>
          <w:numId w:val="22"/>
        </w:numPr>
        <w:spacing w:before="240" w:after="240" w:line="360" w:lineRule="auto"/>
        <w:ind w:left="0" w:firstLine="0"/>
        <w:contextualSpacing w:val="0"/>
        <w:jc w:val="both"/>
      </w:pPr>
      <w:r>
        <w:rPr>
          <w:b/>
          <w:bCs/>
        </w:rPr>
        <w:t>Documentos Fiscais</w:t>
      </w:r>
    </w:p>
    <w:p w14:paraId="68ECE4A0">
      <w:pPr>
        <w:pStyle w:val="72"/>
        <w:numPr>
          <w:ilvl w:val="2"/>
          <w:numId w:val="22"/>
        </w:numPr>
        <w:spacing w:before="240" w:after="240" w:line="360" w:lineRule="auto"/>
        <w:ind w:left="0" w:firstLine="0"/>
        <w:contextualSpacing w:val="0"/>
        <w:jc w:val="both"/>
      </w:pPr>
      <w:r>
        <w:t>Os equipamentos deverão ser entregues acompanhados dos documentos fiscais correspondentes (Nota Fiscal e/ou Fatura), conforme OES.</w:t>
      </w:r>
    </w:p>
    <w:p w14:paraId="630BB646">
      <w:pPr>
        <w:pStyle w:val="72"/>
        <w:numPr>
          <w:ilvl w:val="1"/>
          <w:numId w:val="22"/>
        </w:numPr>
        <w:spacing w:before="240" w:after="240" w:line="360" w:lineRule="auto"/>
        <w:ind w:left="0" w:firstLine="0"/>
        <w:contextualSpacing w:val="0"/>
        <w:jc w:val="both"/>
      </w:pPr>
      <w:r>
        <w:rPr>
          <w:b/>
          <w:bCs/>
        </w:rPr>
        <w:t>Informações ao Consumidor (CDC)</w:t>
      </w:r>
    </w:p>
    <w:p w14:paraId="535C87B3">
      <w:pPr>
        <w:pStyle w:val="72"/>
        <w:numPr>
          <w:ilvl w:val="2"/>
          <w:numId w:val="22"/>
        </w:numPr>
        <w:spacing w:before="240" w:after="240" w:line="360" w:lineRule="auto"/>
        <w:ind w:left="0" w:firstLine="0"/>
        <w:contextualSpacing w:val="0"/>
        <w:jc w:val="both"/>
      </w:pPr>
      <w:r>
        <w:t>Em conformidade com o art. 31 do Código de Defesa do Consumidor (Lei nº 8.078/1990), a CONTRATADA deve assegurar que os equipamentos apresentem informações claras, precisas, ostensivas e em português sobre características, marca, procedência, lote, qualidade, quantidade, garantia e riscos à saúde e segurança.</w:t>
      </w:r>
    </w:p>
    <w:p w14:paraId="1FCEC9ED">
      <w:pPr>
        <w:pStyle w:val="72"/>
        <w:numPr>
          <w:ilvl w:val="1"/>
          <w:numId w:val="22"/>
        </w:numPr>
        <w:spacing w:before="240" w:after="240" w:line="360" w:lineRule="auto"/>
        <w:ind w:left="0" w:firstLine="0"/>
        <w:contextualSpacing w:val="0"/>
        <w:jc w:val="both"/>
      </w:pPr>
      <w:r>
        <w:rPr>
          <w:b/>
          <w:bCs/>
        </w:rPr>
        <w:t>Substituição de Equipamentos Defeituosos</w:t>
      </w:r>
    </w:p>
    <w:p w14:paraId="5B255227">
      <w:pPr>
        <w:pStyle w:val="72"/>
        <w:numPr>
          <w:ilvl w:val="2"/>
          <w:numId w:val="22"/>
        </w:numPr>
        <w:spacing w:before="240" w:after="240" w:line="360" w:lineRule="auto"/>
        <w:ind w:left="0" w:firstLine="0"/>
        <w:contextualSpacing w:val="0"/>
        <w:jc w:val="both"/>
      </w:pPr>
      <w:r>
        <w:t>A CONTRATADA é responsável por substituir ou reparar equipamentos entregues com defeitos, danos ou em desacordo com as especificações.</w:t>
      </w:r>
    </w:p>
    <w:p w14:paraId="41CD7FD4">
      <w:pPr>
        <w:pStyle w:val="72"/>
        <w:numPr>
          <w:ilvl w:val="1"/>
          <w:numId w:val="22"/>
        </w:numPr>
        <w:spacing w:before="240" w:after="240" w:line="360" w:lineRule="auto"/>
        <w:ind w:left="0" w:firstLine="0"/>
        <w:contextualSpacing w:val="0"/>
        <w:jc w:val="both"/>
      </w:pPr>
      <w:r>
        <w:rPr>
          <w:b/>
          <w:bCs/>
        </w:rPr>
        <w:t>Irregularidades e Providência</w:t>
      </w:r>
    </w:p>
    <w:p w14:paraId="03ADC3CF">
      <w:pPr>
        <w:pStyle w:val="72"/>
        <w:numPr>
          <w:ilvl w:val="2"/>
          <w:numId w:val="22"/>
        </w:numPr>
        <w:spacing w:before="240" w:after="240" w:line="360" w:lineRule="auto"/>
        <w:ind w:left="0" w:firstLine="0"/>
        <w:contextualSpacing w:val="0"/>
        <w:jc w:val="both"/>
      </w:pPr>
      <w:r>
        <w:t>Irregularidades não sanadas no prazo poderão ser formalmente registradas pela CONTRATANTE e encaminhadas às autoridades competentes.</w:t>
      </w:r>
    </w:p>
    <w:p w14:paraId="3C3D7CDE">
      <w:pPr>
        <w:pStyle w:val="72"/>
        <w:numPr>
          <w:ilvl w:val="1"/>
          <w:numId w:val="22"/>
        </w:numPr>
        <w:spacing w:before="240" w:after="240" w:line="360" w:lineRule="auto"/>
        <w:ind w:left="0" w:firstLine="0"/>
        <w:contextualSpacing w:val="0"/>
        <w:jc w:val="both"/>
      </w:pPr>
      <w:r>
        <w:rPr>
          <w:b/>
          <w:bCs/>
        </w:rPr>
        <w:t>Suspensão de Pagamentos por Irregularidades</w:t>
      </w:r>
    </w:p>
    <w:p w14:paraId="1DEC31FC">
      <w:pPr>
        <w:pStyle w:val="72"/>
        <w:numPr>
          <w:ilvl w:val="2"/>
          <w:numId w:val="22"/>
        </w:numPr>
        <w:spacing w:before="240" w:after="240" w:line="360" w:lineRule="auto"/>
        <w:ind w:left="0" w:firstLine="0"/>
        <w:contextualSpacing w:val="0"/>
        <w:jc w:val="both"/>
      </w:pPr>
      <w:r>
        <w:t>O não saneamento de irregularidades poderá acarretar suspensão de pagamentos, considerar o fornecimento em atraso e aplicação de multas e sanções administrativas.</w:t>
      </w:r>
    </w:p>
    <w:p w14:paraId="09464227">
      <w:pPr>
        <w:pStyle w:val="72"/>
        <w:numPr>
          <w:ilvl w:val="1"/>
          <w:numId w:val="22"/>
        </w:numPr>
        <w:spacing w:before="240" w:after="240" w:line="360" w:lineRule="auto"/>
        <w:ind w:left="0" w:firstLine="0"/>
        <w:contextualSpacing w:val="0"/>
        <w:jc w:val="both"/>
      </w:pPr>
      <w:r>
        <w:rPr>
          <w:b/>
          <w:bCs/>
        </w:rPr>
        <w:t>Despesas de Entrega</w:t>
      </w:r>
    </w:p>
    <w:p w14:paraId="67648F15">
      <w:pPr>
        <w:pStyle w:val="72"/>
        <w:numPr>
          <w:ilvl w:val="2"/>
          <w:numId w:val="22"/>
        </w:numPr>
        <w:spacing w:before="240" w:after="240" w:line="360" w:lineRule="auto"/>
        <w:ind w:left="0" w:firstLine="0"/>
        <w:contextualSpacing w:val="0"/>
        <w:jc w:val="both"/>
      </w:pPr>
      <w:r>
        <w:t>Todas as despesas relativas à entrega serão de responsabilidade exclusiva da CONTRATADA.</w:t>
      </w:r>
    </w:p>
    <w:p w14:paraId="17D20C52">
      <w:pPr>
        <w:pStyle w:val="72"/>
        <w:numPr>
          <w:ilvl w:val="1"/>
          <w:numId w:val="22"/>
        </w:numPr>
        <w:spacing w:before="240" w:after="240" w:line="360" w:lineRule="auto"/>
        <w:ind w:left="0" w:firstLine="0"/>
        <w:contextualSpacing w:val="0"/>
        <w:jc w:val="both"/>
      </w:pPr>
      <w:r>
        <w:rPr>
          <w:b/>
          <w:bCs/>
        </w:rPr>
        <w:t>Aplicação Subsidiária do CDC</w:t>
      </w:r>
    </w:p>
    <w:p w14:paraId="702F6AA5">
      <w:pPr>
        <w:pStyle w:val="72"/>
        <w:numPr>
          <w:ilvl w:val="2"/>
          <w:numId w:val="22"/>
        </w:numPr>
        <w:spacing w:before="240" w:after="240" w:line="360" w:lineRule="auto"/>
        <w:ind w:left="0" w:firstLine="0"/>
        <w:contextualSpacing w:val="0"/>
        <w:jc w:val="both"/>
      </w:pPr>
      <w:r>
        <w:t>Aplica-se subsidiariamente o Código de Defesa do Consumidor (Lei nº 8.078/1990).</w:t>
      </w:r>
    </w:p>
    <w:p w14:paraId="661B395F">
      <w:pPr>
        <w:pStyle w:val="72"/>
        <w:numPr>
          <w:ilvl w:val="1"/>
          <w:numId w:val="22"/>
        </w:numPr>
        <w:spacing w:before="240" w:after="240" w:line="360" w:lineRule="auto"/>
        <w:ind w:left="0" w:firstLine="0"/>
        <w:contextualSpacing w:val="0"/>
        <w:jc w:val="both"/>
      </w:pPr>
      <w:r>
        <w:rPr>
          <w:b/>
          <w:bCs/>
        </w:rPr>
        <w:t>Responsabilidades Trabalhistas e de Segurança</w:t>
      </w:r>
    </w:p>
    <w:p w14:paraId="3D74CE0C">
      <w:pPr>
        <w:pStyle w:val="72"/>
        <w:numPr>
          <w:ilvl w:val="2"/>
          <w:numId w:val="22"/>
        </w:numPr>
        <w:spacing w:before="240" w:after="240" w:line="360" w:lineRule="auto"/>
        <w:ind w:left="0" w:firstLine="0"/>
        <w:contextualSpacing w:val="0"/>
        <w:jc w:val="both"/>
      </w:pPr>
      <w:r>
        <w:t>A CONTRATADA será responsável por todas as obrigações trabalhistas, previdenciárias, de segurança e higiene do trabalho, incluindo fornecimento e uso obrigatório de EPIs para seus empregados.</w:t>
      </w:r>
    </w:p>
    <w:p w14:paraId="451188B6">
      <w:pPr>
        <w:pStyle w:val="72"/>
        <w:numPr>
          <w:ilvl w:val="1"/>
          <w:numId w:val="22"/>
        </w:numPr>
        <w:spacing w:before="240" w:after="240" w:line="360" w:lineRule="auto"/>
        <w:ind w:left="0" w:firstLine="0"/>
        <w:contextualSpacing w:val="0"/>
        <w:jc w:val="both"/>
      </w:pPr>
      <w:r>
        <w:rPr>
          <w:b/>
          <w:bCs/>
        </w:rPr>
        <w:t>Ônus Abrangentes</w:t>
      </w:r>
    </w:p>
    <w:p w14:paraId="4CB68C9A">
      <w:pPr>
        <w:pStyle w:val="72"/>
        <w:numPr>
          <w:ilvl w:val="2"/>
          <w:numId w:val="22"/>
        </w:numPr>
        <w:spacing w:before="240" w:after="240" w:line="360" w:lineRule="auto"/>
        <w:ind w:left="0" w:firstLine="0"/>
        <w:contextualSpacing w:val="0"/>
        <w:jc w:val="both"/>
      </w:pPr>
      <w:r>
        <w:t>A CONTRATADA responderá por todos os ônus relacionados aos serviços, como fretes, estadias e seguros, desde a origem até a instalação e funcionamento final dos equipamentos.</w:t>
      </w:r>
    </w:p>
    <w:p w14:paraId="123CCBA9">
      <w:pPr>
        <w:pStyle w:val="72"/>
        <w:numPr>
          <w:ilvl w:val="1"/>
          <w:numId w:val="22"/>
        </w:numPr>
        <w:spacing w:before="240" w:after="240" w:line="360" w:lineRule="auto"/>
        <w:ind w:left="0" w:firstLine="0"/>
        <w:contextualSpacing w:val="0"/>
        <w:jc w:val="both"/>
      </w:pPr>
      <w:r>
        <w:rPr>
          <w:b/>
          <w:bCs/>
        </w:rPr>
        <w:t>Manutenção das Condições de Habilitação</w:t>
      </w:r>
    </w:p>
    <w:p w14:paraId="415DD275">
      <w:pPr>
        <w:pStyle w:val="72"/>
        <w:numPr>
          <w:ilvl w:val="2"/>
          <w:numId w:val="22"/>
        </w:numPr>
        <w:spacing w:before="240" w:after="240" w:line="360" w:lineRule="auto"/>
        <w:ind w:left="0" w:firstLine="0"/>
        <w:contextualSpacing w:val="0"/>
        <w:jc w:val="both"/>
      </w:pPr>
      <w:r>
        <w:t>A CONTRATADA deverá manter todas as condições de habilitação e qualificação exigidas pelo SENATRAN, CONTRAN e INMETRO durante toda a execução do contrato.</w:t>
      </w:r>
    </w:p>
    <w:p w14:paraId="475FB7F5">
      <w:pPr>
        <w:pStyle w:val="72"/>
        <w:numPr>
          <w:ilvl w:val="1"/>
          <w:numId w:val="22"/>
        </w:numPr>
        <w:spacing w:before="240" w:after="240" w:line="360" w:lineRule="auto"/>
        <w:ind w:left="0" w:firstLine="0"/>
        <w:contextualSpacing w:val="0"/>
        <w:jc w:val="both"/>
      </w:pPr>
      <w:r>
        <w:rPr>
          <w:b/>
          <w:bCs/>
        </w:rPr>
        <w:t>Confidencialidade</w:t>
      </w:r>
    </w:p>
    <w:p w14:paraId="3E210998">
      <w:pPr>
        <w:pStyle w:val="72"/>
        <w:numPr>
          <w:ilvl w:val="2"/>
          <w:numId w:val="22"/>
        </w:numPr>
        <w:spacing w:before="240" w:after="240" w:line="360" w:lineRule="auto"/>
        <w:ind w:left="0" w:firstLine="0"/>
        <w:contextualSpacing w:val="0"/>
        <w:jc w:val="both"/>
      </w:pPr>
      <w:r>
        <w:t>A CONTRATADA deve manter sigilo absoluto sobre todas as informações e dados fornecidos no âmbito do contrato, não os divulgando ou disponibilizando a terceiros sem autorização expressa da CONTRATANTE.</w:t>
      </w:r>
    </w:p>
    <w:p w14:paraId="1479F306">
      <w:pPr>
        <w:pStyle w:val="72"/>
        <w:numPr>
          <w:ilvl w:val="1"/>
          <w:numId w:val="22"/>
        </w:numPr>
        <w:spacing w:before="240" w:after="240" w:line="360" w:lineRule="auto"/>
        <w:ind w:left="0" w:firstLine="0"/>
        <w:contextualSpacing w:val="0"/>
        <w:jc w:val="both"/>
      </w:pPr>
      <w:r>
        <w:rPr>
          <w:b/>
          <w:bCs/>
        </w:rPr>
        <w:t>Acréscimos e Supressões Contratuais</w:t>
      </w:r>
    </w:p>
    <w:p w14:paraId="256CE8C0">
      <w:pPr>
        <w:pStyle w:val="72"/>
        <w:numPr>
          <w:ilvl w:val="2"/>
          <w:numId w:val="22"/>
        </w:numPr>
        <w:spacing w:before="240" w:after="240" w:line="360" w:lineRule="auto"/>
        <w:ind w:left="0" w:firstLine="0"/>
        <w:contextualSpacing w:val="0"/>
        <w:jc w:val="both"/>
      </w:pPr>
      <w:r>
        <w:t>A CONTRATADA aceitará acréscimos ou supressões de até 25% do valor atualizado do contrato, nas mesmas condições.</w:t>
      </w:r>
    </w:p>
    <w:p w14:paraId="5E29D0BC">
      <w:pPr>
        <w:pStyle w:val="72"/>
        <w:numPr>
          <w:ilvl w:val="1"/>
          <w:numId w:val="22"/>
        </w:numPr>
        <w:spacing w:before="240" w:after="240" w:line="360" w:lineRule="auto"/>
        <w:ind w:left="0" w:firstLine="0"/>
        <w:contextualSpacing w:val="0"/>
        <w:jc w:val="both"/>
      </w:pPr>
      <w:r>
        <w:rPr>
          <w:b/>
          <w:bCs/>
        </w:rPr>
        <w:t>Anotação de Responsabilidade Técnica (ART)</w:t>
      </w:r>
    </w:p>
    <w:p w14:paraId="0539A4FA">
      <w:pPr>
        <w:pStyle w:val="72"/>
        <w:numPr>
          <w:ilvl w:val="2"/>
          <w:numId w:val="22"/>
        </w:numPr>
        <w:spacing w:before="240" w:after="240" w:line="360" w:lineRule="auto"/>
        <w:ind w:left="0" w:firstLine="0"/>
        <w:contextualSpacing w:val="0"/>
        <w:jc w:val="both"/>
      </w:pPr>
      <w:r>
        <w:t>A CONTRATADA providenciará a ART junto ao CREA-MT para os serviços contratados.</w:t>
      </w:r>
    </w:p>
    <w:p w14:paraId="0F7AB4C9">
      <w:pPr>
        <w:pStyle w:val="72"/>
        <w:numPr>
          <w:ilvl w:val="1"/>
          <w:numId w:val="22"/>
        </w:numPr>
        <w:spacing w:before="240" w:after="240" w:line="360" w:lineRule="auto"/>
        <w:ind w:left="0" w:firstLine="0"/>
        <w:contextualSpacing w:val="0"/>
        <w:jc w:val="both"/>
      </w:pPr>
      <w:r>
        <w:rPr>
          <w:b/>
          <w:bCs/>
        </w:rPr>
        <w:t>Locais de Instalação e Alternativas</w:t>
      </w:r>
    </w:p>
    <w:p w14:paraId="71762BB4">
      <w:pPr>
        <w:pStyle w:val="72"/>
        <w:numPr>
          <w:ilvl w:val="2"/>
          <w:numId w:val="22"/>
        </w:numPr>
        <w:spacing w:before="240" w:after="240" w:line="360" w:lineRule="auto"/>
        <w:ind w:left="0" w:firstLine="0"/>
        <w:contextualSpacing w:val="0"/>
        <w:jc w:val="both"/>
      </w:pPr>
      <w:r>
        <w:t>A instalação será nos locais indicados pela CONTRATANTE. Caso haja inviabilidade técnica, a CONTRATADA submeterá proposta fundamentada para alternativa, para aprovação da CONTRATANTE.</w:t>
      </w:r>
    </w:p>
    <w:p w14:paraId="5D778A6E">
      <w:pPr>
        <w:pStyle w:val="72"/>
        <w:numPr>
          <w:ilvl w:val="1"/>
          <w:numId w:val="22"/>
        </w:numPr>
        <w:spacing w:before="240" w:after="240" w:line="360" w:lineRule="auto"/>
        <w:ind w:left="0" w:firstLine="0"/>
        <w:contextualSpacing w:val="0"/>
        <w:jc w:val="both"/>
      </w:pPr>
      <w:r>
        <w:rPr>
          <w:b/>
          <w:bCs/>
        </w:rPr>
        <w:t>Alterações de Projeto e Locais Fiscalizados</w:t>
      </w:r>
    </w:p>
    <w:p w14:paraId="4E06897C">
      <w:pPr>
        <w:pStyle w:val="72"/>
        <w:numPr>
          <w:ilvl w:val="2"/>
          <w:numId w:val="22"/>
        </w:numPr>
        <w:spacing w:before="240" w:after="240" w:line="360" w:lineRule="auto"/>
        <w:ind w:left="0" w:firstLine="0"/>
        <w:contextualSpacing w:val="0"/>
        <w:jc w:val="both"/>
      </w:pPr>
      <w:r>
        <w:t>Alterações nos projetos ou locais de instalação só poderão ser feitas em casos necessários para o funcionamento do sistema e mediante acordo prévio.</w:t>
      </w:r>
    </w:p>
    <w:p w14:paraId="6BD5269F">
      <w:pPr>
        <w:pStyle w:val="72"/>
        <w:numPr>
          <w:ilvl w:val="1"/>
          <w:numId w:val="22"/>
        </w:numPr>
        <w:spacing w:before="240" w:after="240" w:line="360" w:lineRule="auto"/>
        <w:ind w:left="0" w:firstLine="0"/>
        <w:contextualSpacing w:val="0"/>
        <w:jc w:val="both"/>
      </w:pPr>
      <w:r>
        <w:rPr>
          <w:b/>
          <w:bCs/>
        </w:rPr>
        <w:t>Indicação de Preposto</w:t>
      </w:r>
    </w:p>
    <w:p w14:paraId="6B379406">
      <w:pPr>
        <w:pStyle w:val="72"/>
        <w:numPr>
          <w:ilvl w:val="2"/>
          <w:numId w:val="22"/>
        </w:numPr>
        <w:spacing w:before="240" w:after="240" w:line="360" w:lineRule="auto"/>
        <w:ind w:left="0" w:firstLine="0"/>
        <w:contextualSpacing w:val="0"/>
        <w:jc w:val="both"/>
      </w:pPr>
      <w:r>
        <w:t>A CONTRATADA indicará preposto com poderes para resolver dúvidas, problemas e encaminhar soluções durante a execução do contrato.</w:t>
      </w:r>
    </w:p>
    <w:p w14:paraId="4E36AA88">
      <w:pPr>
        <w:pStyle w:val="72"/>
        <w:numPr>
          <w:ilvl w:val="1"/>
          <w:numId w:val="22"/>
        </w:numPr>
        <w:spacing w:before="240" w:after="240" w:line="360" w:lineRule="auto"/>
        <w:ind w:left="0" w:firstLine="0"/>
        <w:contextualSpacing w:val="0"/>
        <w:jc w:val="both"/>
      </w:pPr>
      <w:r>
        <w:rPr>
          <w:b/>
          <w:bCs/>
        </w:rPr>
        <w:t>Atualização Tecnológica</w:t>
      </w:r>
    </w:p>
    <w:p w14:paraId="22390318">
      <w:pPr>
        <w:pStyle w:val="72"/>
        <w:numPr>
          <w:ilvl w:val="2"/>
          <w:numId w:val="22"/>
        </w:numPr>
        <w:spacing w:before="240" w:after="240" w:line="360" w:lineRule="auto"/>
        <w:ind w:left="0" w:firstLine="0"/>
        <w:contextualSpacing w:val="0"/>
        <w:jc w:val="both"/>
      </w:pPr>
      <w:r>
        <w:t>A CONTRATADA manterá os equipamentos tecnologicamente atualizados, atendendo às exigências dos órgãos reguladores (SENATRAN e CONTRAN).</w:t>
      </w:r>
    </w:p>
    <w:p w14:paraId="0038617A">
      <w:pPr>
        <w:pStyle w:val="72"/>
        <w:numPr>
          <w:ilvl w:val="1"/>
          <w:numId w:val="22"/>
        </w:numPr>
        <w:spacing w:before="240" w:after="240" w:line="360" w:lineRule="auto"/>
        <w:ind w:left="0" w:firstLine="0"/>
        <w:contextualSpacing w:val="0"/>
        <w:jc w:val="both"/>
      </w:pPr>
      <w:r>
        <w:rPr>
          <w:b/>
          <w:bCs/>
        </w:rPr>
        <w:t>Regularidade junto ao INMETRO</w:t>
      </w:r>
    </w:p>
    <w:p w14:paraId="0E0029D0">
      <w:pPr>
        <w:pStyle w:val="72"/>
        <w:numPr>
          <w:ilvl w:val="2"/>
          <w:numId w:val="22"/>
        </w:numPr>
        <w:spacing w:before="240" w:after="240" w:line="360" w:lineRule="auto"/>
        <w:ind w:left="0" w:firstLine="0"/>
        <w:contextualSpacing w:val="0"/>
        <w:jc w:val="both"/>
      </w:pPr>
      <w:r>
        <w:t>A CONTRATADA manterá a regularidade dos equipamentos junto ao INMETRO, apresentando comprovantes conforme legislação.</w:t>
      </w:r>
    </w:p>
    <w:p w14:paraId="3750D5A6">
      <w:pPr>
        <w:pStyle w:val="72"/>
        <w:numPr>
          <w:ilvl w:val="1"/>
          <w:numId w:val="22"/>
        </w:numPr>
        <w:spacing w:before="240" w:after="240" w:line="360" w:lineRule="auto"/>
        <w:ind w:left="0" w:firstLine="0"/>
        <w:contextualSpacing w:val="0"/>
        <w:jc w:val="both"/>
      </w:pPr>
      <w:r>
        <w:rPr>
          <w:b/>
          <w:bCs/>
        </w:rPr>
        <w:t>Calibração dos Equipamentos</w:t>
      </w:r>
    </w:p>
    <w:p w14:paraId="33211548">
      <w:pPr>
        <w:pStyle w:val="72"/>
        <w:numPr>
          <w:ilvl w:val="2"/>
          <w:numId w:val="22"/>
        </w:numPr>
        <w:spacing w:before="240" w:after="240" w:line="360" w:lineRule="auto"/>
        <w:ind w:left="0" w:firstLine="0"/>
        <w:contextualSpacing w:val="0"/>
        <w:jc w:val="both"/>
      </w:pPr>
      <w:r>
        <w:t>Os equipamentos deverão ser calibrados conforme parâmetros definidos pela CONTRATANTE, especialmente tempos de retardo e permanência para caracterização das infrações.</w:t>
      </w:r>
    </w:p>
    <w:p w14:paraId="173A3E41">
      <w:pPr>
        <w:pStyle w:val="72"/>
        <w:numPr>
          <w:ilvl w:val="1"/>
          <w:numId w:val="22"/>
        </w:numPr>
        <w:spacing w:before="240" w:after="240" w:line="360" w:lineRule="auto"/>
        <w:ind w:left="0" w:firstLine="0"/>
        <w:contextualSpacing w:val="0"/>
        <w:jc w:val="both"/>
      </w:pPr>
      <w:r>
        <w:rPr>
          <w:b/>
          <w:bCs/>
        </w:rPr>
        <w:t>Acesso e Disponibilização de Imagens</w:t>
      </w:r>
    </w:p>
    <w:p w14:paraId="307307F3">
      <w:pPr>
        <w:pStyle w:val="72"/>
        <w:numPr>
          <w:ilvl w:val="2"/>
          <w:numId w:val="22"/>
        </w:numPr>
        <w:spacing w:before="240" w:after="240" w:line="360" w:lineRule="auto"/>
        <w:ind w:left="0" w:firstLine="0"/>
        <w:contextualSpacing w:val="0"/>
        <w:jc w:val="both"/>
      </w:pPr>
      <w:r>
        <w:t>A CONTRATADA disponibilizará acesso às imagens capturadas, em formato seguro e conforme leiaute fornecido, para análise e cadastramento das infrações no sistema integrado do DETRAN/MT.</w:t>
      </w:r>
    </w:p>
    <w:p w14:paraId="4804C1EE">
      <w:pPr>
        <w:pStyle w:val="72"/>
        <w:numPr>
          <w:ilvl w:val="1"/>
          <w:numId w:val="22"/>
        </w:numPr>
        <w:spacing w:before="240" w:after="240" w:line="360" w:lineRule="auto"/>
        <w:ind w:left="0" w:firstLine="0"/>
        <w:contextualSpacing w:val="0"/>
        <w:jc w:val="both"/>
      </w:pPr>
      <w:r>
        <w:rPr>
          <w:b/>
          <w:bCs/>
        </w:rPr>
        <w:t>Comunicação de Anomalias</w:t>
      </w:r>
    </w:p>
    <w:p w14:paraId="79909A54">
      <w:pPr>
        <w:pStyle w:val="72"/>
        <w:numPr>
          <w:ilvl w:val="2"/>
          <w:numId w:val="22"/>
        </w:numPr>
        <w:spacing w:before="240" w:after="240" w:line="360" w:lineRule="auto"/>
        <w:ind w:left="0" w:firstLine="0"/>
        <w:contextualSpacing w:val="0"/>
        <w:jc w:val="both"/>
      </w:pPr>
      <w:r>
        <w:t>A CONTRATADA comunicará imediatamente, por escrito, quaisquer falhas ou anomalias detectadas na instalação ou operação dos equipamentos.</w:t>
      </w:r>
    </w:p>
    <w:p w14:paraId="3B7D84AC">
      <w:pPr>
        <w:pStyle w:val="72"/>
        <w:numPr>
          <w:ilvl w:val="1"/>
          <w:numId w:val="22"/>
        </w:numPr>
        <w:spacing w:before="240" w:after="240" w:line="360" w:lineRule="auto"/>
        <w:ind w:left="0" w:firstLine="0"/>
        <w:contextualSpacing w:val="0"/>
        <w:jc w:val="both"/>
      </w:pPr>
      <w:r>
        <w:rPr>
          <w:b/>
          <w:bCs/>
        </w:rPr>
        <w:t>Treinamento</w:t>
      </w:r>
    </w:p>
    <w:p w14:paraId="59579393">
      <w:pPr>
        <w:pStyle w:val="72"/>
        <w:numPr>
          <w:ilvl w:val="2"/>
          <w:numId w:val="22"/>
        </w:numPr>
        <w:spacing w:before="240" w:after="240" w:line="360" w:lineRule="auto"/>
        <w:ind w:left="0" w:firstLine="0"/>
        <w:contextualSpacing w:val="0"/>
        <w:jc w:val="both"/>
      </w:pPr>
      <w:r>
        <w:t>A CONTRATADA realizará, sem custo para a CONTRATANTE, treinamento para agentes de trânsito e pessoal indicado sobre operação da Central de Controle e sistemas fornecidos.</w:t>
      </w:r>
    </w:p>
    <w:p w14:paraId="0FC5471F">
      <w:pPr>
        <w:pStyle w:val="72"/>
        <w:numPr>
          <w:ilvl w:val="1"/>
          <w:numId w:val="22"/>
        </w:numPr>
        <w:spacing w:before="240" w:after="240" w:line="360" w:lineRule="auto"/>
        <w:ind w:left="0" w:firstLine="0"/>
        <w:contextualSpacing w:val="0"/>
        <w:jc w:val="both"/>
      </w:pPr>
      <w:r>
        <w:rPr>
          <w:b/>
          <w:bCs/>
        </w:rPr>
        <w:t>Instalação Inicial e Responsabilidade Contínua</w:t>
      </w:r>
    </w:p>
    <w:p w14:paraId="1E462623">
      <w:pPr>
        <w:pStyle w:val="72"/>
        <w:numPr>
          <w:ilvl w:val="2"/>
          <w:numId w:val="22"/>
        </w:numPr>
        <w:spacing w:before="240" w:after="240" w:line="360" w:lineRule="auto"/>
        <w:ind w:left="0" w:firstLine="0"/>
        <w:contextualSpacing w:val="0"/>
        <w:jc w:val="both"/>
      </w:pPr>
      <w:r>
        <w:t>O prazo para o início da execução dos serviços, conforme estabelecido no Cronograma Físico-Financeiro, terá início em até 30 (trinta) dias após a emissão da Ordem de Serviço (OES). Esse prazo inicial poderá ser prorrogado, uma única vez e por igual período, mediante manifestação prévia e formal entre as partes. Após instalação, manterá manutenção e substituição de peças durante toda vigência contratual, sem custo adicional. Ao término do contrato, poderá recolher os equipamentos fornecidos; a infraestrutura civil instalada permanecerá no local.</w:t>
      </w:r>
    </w:p>
    <w:p w14:paraId="0431D733">
      <w:pPr>
        <w:pStyle w:val="72"/>
        <w:numPr>
          <w:ilvl w:val="0"/>
          <w:numId w:val="23"/>
        </w:numPr>
        <w:spacing w:before="240" w:after="240" w:line="360" w:lineRule="auto"/>
        <w:jc w:val="both"/>
        <w:outlineLvl w:val="1"/>
        <w:rPr>
          <w:b/>
          <w:bCs/>
        </w:rPr>
      </w:pPr>
      <w:r>
        <w:rPr>
          <w:b/>
          <w:bCs/>
        </w:rPr>
        <w:t>REAJUSTE CONTRATUAL</w:t>
      </w:r>
    </w:p>
    <w:p w14:paraId="071961C6">
      <w:pPr>
        <w:suppressAutoHyphens/>
        <w:spacing w:before="240" w:after="240" w:line="360" w:lineRule="auto"/>
        <w:jc w:val="both"/>
        <w:rPr>
          <w:b/>
          <w:bCs/>
        </w:rPr>
      </w:pPr>
      <w:r>
        <w:rPr>
          <w:b/>
          <w:bCs/>
        </w:rPr>
        <w:t>18.1.</w:t>
      </w:r>
      <w:r>
        <w:t xml:space="preserve"> O primeiro reajuste será feito conforme o art. 25, § 8º da Lei 14.133/2021, contado a partir da conclusão do orçamento estimado definitivo.</w:t>
      </w:r>
    </w:p>
    <w:p w14:paraId="73C89CC7">
      <w:pPr>
        <w:pStyle w:val="72"/>
        <w:numPr>
          <w:ilvl w:val="1"/>
          <w:numId w:val="23"/>
        </w:numPr>
        <w:suppressAutoHyphens/>
        <w:spacing w:before="240" w:after="240" w:line="360" w:lineRule="auto"/>
        <w:jc w:val="both"/>
        <w:rPr>
          <w:b/>
          <w:bCs/>
        </w:rPr>
      </w:pPr>
      <w:r>
        <w:t>Os preços são fixos e irreajustáveis por 1 (um) ano após essa data.</w:t>
      </w:r>
    </w:p>
    <w:p w14:paraId="7CC0C7CC">
      <w:pPr>
        <w:pStyle w:val="72"/>
        <w:suppressAutoHyphens/>
        <w:spacing w:before="240" w:after="240" w:line="360" w:lineRule="auto"/>
        <w:jc w:val="both"/>
        <w:rPr>
          <w:b/>
          <w:bCs/>
        </w:rPr>
      </w:pPr>
    </w:p>
    <w:p w14:paraId="723372CE">
      <w:pPr>
        <w:pStyle w:val="72"/>
        <w:numPr>
          <w:ilvl w:val="1"/>
          <w:numId w:val="23"/>
        </w:numPr>
        <w:suppressAutoHyphens/>
        <w:spacing w:before="240" w:after="240" w:line="360" w:lineRule="auto"/>
        <w:contextualSpacing w:val="0"/>
        <w:jc w:val="both"/>
        <w:rPr>
          <w:b/>
          <w:bCs/>
        </w:rPr>
      </w:pPr>
      <w:r>
        <w:t>Após esse período, o reajuste anual será feito pelo Índice Nacional de Preços ao Consumidor Amplo (IPCA), aplicado somente às obrigações iniciadas após o prazo.</w:t>
      </w:r>
    </w:p>
    <w:p w14:paraId="3AC8340F">
      <w:pPr>
        <w:pStyle w:val="72"/>
        <w:numPr>
          <w:ilvl w:val="1"/>
          <w:numId w:val="23"/>
        </w:numPr>
        <w:suppressAutoHyphens/>
        <w:spacing w:before="240" w:after="240" w:line="360" w:lineRule="auto"/>
        <w:contextualSpacing w:val="0"/>
        <w:jc w:val="both"/>
        <w:rPr>
          <w:b/>
          <w:bCs/>
        </w:rPr>
      </w:pPr>
      <w:r>
        <w:t>Reajustes seguintes respeitarão intervalo mínimo de 1 (um) ano a partir do último reajuste.</w:t>
      </w:r>
    </w:p>
    <w:p w14:paraId="2D81FA98">
      <w:pPr>
        <w:pStyle w:val="72"/>
        <w:numPr>
          <w:ilvl w:val="1"/>
          <w:numId w:val="23"/>
        </w:numPr>
        <w:suppressAutoHyphens/>
        <w:spacing w:before="240" w:after="240" w:line="360" w:lineRule="auto"/>
        <w:ind w:left="0" w:firstLine="0"/>
        <w:contextualSpacing w:val="0"/>
        <w:jc w:val="both"/>
        <w:rPr>
          <w:b/>
          <w:bCs/>
        </w:rPr>
      </w:pPr>
      <w:r>
        <w:t>Se o índice não for divulgado, o pagamento será baseado no último índice conhecido, com ajuste posterior.</w:t>
      </w:r>
    </w:p>
    <w:p w14:paraId="6E775635">
      <w:pPr>
        <w:pStyle w:val="72"/>
        <w:numPr>
          <w:ilvl w:val="1"/>
          <w:numId w:val="23"/>
        </w:numPr>
        <w:suppressAutoHyphens/>
        <w:spacing w:before="240" w:after="240" w:line="360" w:lineRule="auto"/>
        <w:ind w:left="0" w:firstLine="0"/>
        <w:contextualSpacing w:val="0"/>
        <w:jc w:val="both"/>
        <w:rPr>
          <w:b/>
          <w:bCs/>
        </w:rPr>
      </w:pPr>
      <w:r>
        <w:t>Nas aferições finais, será usado o índice definitivo.</w:t>
      </w:r>
    </w:p>
    <w:p w14:paraId="733329E9">
      <w:pPr>
        <w:pStyle w:val="72"/>
        <w:numPr>
          <w:ilvl w:val="1"/>
          <w:numId w:val="23"/>
        </w:numPr>
        <w:suppressAutoHyphens/>
        <w:spacing w:before="240" w:after="240" w:line="360" w:lineRule="auto"/>
        <w:ind w:left="0" w:firstLine="0"/>
        <w:contextualSpacing w:val="0"/>
        <w:jc w:val="both"/>
        <w:rPr>
          <w:b/>
          <w:bCs/>
        </w:rPr>
      </w:pPr>
      <w:r>
        <w:t>Caso o índice deixe de existir, será adotado o índice legal vigente ou outro acordado entre as partes.</w:t>
      </w:r>
    </w:p>
    <w:p w14:paraId="0CDBB6D3">
      <w:pPr>
        <w:pStyle w:val="72"/>
        <w:numPr>
          <w:ilvl w:val="1"/>
          <w:numId w:val="23"/>
        </w:numPr>
        <w:suppressAutoHyphens/>
        <w:spacing w:before="240" w:after="240" w:line="360" w:lineRule="auto"/>
        <w:ind w:left="0" w:firstLine="0"/>
        <w:contextualSpacing w:val="0"/>
        <w:jc w:val="both"/>
        <w:rPr>
          <w:b/>
          <w:bCs/>
        </w:rPr>
      </w:pPr>
      <w:r>
        <w:t>O reajuste será formalizado por apostilamento ou termo aditivo.</w:t>
      </w:r>
    </w:p>
    <w:p w14:paraId="640174C6">
      <w:pPr>
        <w:pStyle w:val="72"/>
        <w:numPr>
          <w:ilvl w:val="1"/>
          <w:numId w:val="23"/>
        </w:numPr>
        <w:suppressAutoHyphens/>
        <w:spacing w:before="240" w:after="240" w:line="360" w:lineRule="auto"/>
        <w:ind w:left="0" w:firstLine="0"/>
        <w:contextualSpacing w:val="0"/>
        <w:jc w:val="both"/>
        <w:rPr>
          <w:b/>
          <w:bCs/>
        </w:rPr>
      </w:pPr>
      <w:r>
        <w:t>O direito ao reajuste não exercido será perdido, especialmente se houver prorrogação sem ressalvas ou encerramento do contrato.</w:t>
      </w:r>
    </w:p>
    <w:p w14:paraId="26E9ABA5">
      <w:pPr>
        <w:pStyle w:val="72"/>
        <w:numPr>
          <w:ilvl w:val="0"/>
          <w:numId w:val="23"/>
        </w:numPr>
        <w:suppressAutoHyphens/>
        <w:spacing w:before="240" w:after="240" w:line="360" w:lineRule="auto"/>
        <w:ind w:left="0" w:firstLine="0"/>
        <w:contextualSpacing w:val="0"/>
        <w:jc w:val="both"/>
        <w:outlineLvl w:val="1"/>
        <w:rPr>
          <w:b/>
          <w:bCs/>
        </w:rPr>
      </w:pPr>
      <w:r>
        <w:rPr>
          <w:b/>
          <w:bCs/>
        </w:rPr>
        <w:t xml:space="preserve">DO PRAZO DE ENTREGA E CRITÉRIOS DE RECEBIMENTO </w:t>
      </w:r>
    </w:p>
    <w:p w14:paraId="6D6A9901">
      <w:pPr>
        <w:pStyle w:val="72"/>
        <w:suppressAutoHyphens/>
        <w:spacing w:before="240" w:after="240" w:line="360" w:lineRule="auto"/>
        <w:ind w:left="0"/>
        <w:contextualSpacing w:val="0"/>
        <w:jc w:val="both"/>
        <w:rPr>
          <w:b/>
          <w:bCs/>
        </w:rPr>
      </w:pPr>
      <w:r>
        <w:t>19.1.</w:t>
      </w:r>
      <w:r>
        <w:tab/>
      </w:r>
      <w:r>
        <w:t>A entrega deverá ser feita conforme estabelecido no Cronograma Físico-Financeiro, terá início em até 30 (trinta) dias após a emissão da Ordem de Serviço (OES). Esse prazo inicial poderá ser prorrogado, uma única vez e por igual período, mediante manifestação prévia e formal entre as partes.</w:t>
      </w:r>
    </w:p>
    <w:p w14:paraId="2D7CA0D1">
      <w:pPr>
        <w:pStyle w:val="72"/>
        <w:numPr>
          <w:ilvl w:val="1"/>
          <w:numId w:val="23"/>
        </w:numPr>
        <w:suppressAutoHyphens/>
        <w:spacing w:before="240" w:after="240" w:line="360" w:lineRule="auto"/>
        <w:contextualSpacing w:val="0"/>
        <w:jc w:val="both"/>
        <w:rPr>
          <w:b/>
          <w:bCs/>
        </w:rPr>
      </w:pPr>
      <w:r>
        <w:rPr>
          <w:b/>
        </w:rPr>
        <w:t>Modelo de execução do objeto</w:t>
      </w:r>
    </w:p>
    <w:p w14:paraId="213249AB">
      <w:pPr>
        <w:pStyle w:val="72"/>
        <w:numPr>
          <w:ilvl w:val="2"/>
          <w:numId w:val="23"/>
        </w:numPr>
        <w:suppressAutoHyphens/>
        <w:spacing w:before="240" w:after="240" w:line="360" w:lineRule="auto"/>
        <w:ind w:left="0" w:firstLine="0"/>
        <w:contextualSpacing w:val="0"/>
        <w:jc w:val="both"/>
        <w:rPr>
          <w:b/>
          <w:bCs/>
        </w:rPr>
      </w:pPr>
      <w:r>
        <w:rPr>
          <w:b/>
        </w:rPr>
        <w:t>Os materiais deverão ser entregues no seguinte endereço:</w:t>
      </w:r>
      <w:r>
        <w:t xml:space="preserve"> Departamento de Gestão de Almoxarifado da Secretaria Municipal de Administração. Rua Arnaldo Estevão de Figueiredo, n° 2719, Jardim Guanabara - Rondonópolis/MT. Horário: das 8:00h às 17:00h - de Segunda a Sexta Feira.</w:t>
      </w:r>
    </w:p>
    <w:p w14:paraId="2140F380">
      <w:pPr>
        <w:pStyle w:val="72"/>
        <w:numPr>
          <w:ilvl w:val="2"/>
          <w:numId w:val="23"/>
        </w:numPr>
        <w:suppressAutoHyphens/>
        <w:spacing w:before="240" w:after="240" w:line="360" w:lineRule="auto"/>
        <w:ind w:left="0" w:firstLine="0"/>
        <w:contextualSpacing w:val="0"/>
        <w:jc w:val="both"/>
        <w:rPr>
          <w:b/>
          <w:bCs/>
        </w:rPr>
      </w:pPr>
      <w:r>
        <w:rPr>
          <w:bCs/>
          <w:color w:val="000000"/>
        </w:rPr>
        <w:t>Caso ocorra alguma mudança de programação de endereço de entrega, o novo cronograma será enviado junto à autorização de fornecimento via e-mail;</w:t>
      </w:r>
    </w:p>
    <w:p w14:paraId="53CA28D3">
      <w:pPr>
        <w:pStyle w:val="72"/>
        <w:numPr>
          <w:ilvl w:val="1"/>
          <w:numId w:val="23"/>
        </w:numPr>
        <w:suppressAutoHyphens/>
        <w:spacing w:before="240" w:after="240" w:line="360" w:lineRule="auto"/>
        <w:ind w:left="0" w:firstLine="0"/>
        <w:contextualSpacing w:val="0"/>
        <w:jc w:val="both"/>
        <w:rPr>
          <w:b/>
          <w:bCs/>
        </w:rPr>
      </w:pPr>
      <w:r>
        <w:t>Os materiais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neste TR e na proposta;</w:t>
      </w:r>
    </w:p>
    <w:p w14:paraId="0D8D10C1">
      <w:pPr>
        <w:pStyle w:val="72"/>
        <w:numPr>
          <w:ilvl w:val="1"/>
          <w:numId w:val="23"/>
        </w:numPr>
        <w:suppressAutoHyphens/>
        <w:spacing w:before="240" w:after="240" w:line="360" w:lineRule="auto"/>
        <w:ind w:left="0" w:firstLine="0"/>
        <w:contextualSpacing w:val="0"/>
        <w:jc w:val="both"/>
        <w:rPr>
          <w:b/>
          <w:bCs/>
        </w:rPr>
      </w:pPr>
      <w:r>
        <w:t>O recebimento provisório dos produtos não implica a aceitação definitiva dos mesmos;</w:t>
      </w:r>
    </w:p>
    <w:p w14:paraId="77C87761">
      <w:pPr>
        <w:pStyle w:val="72"/>
        <w:numPr>
          <w:ilvl w:val="1"/>
          <w:numId w:val="23"/>
        </w:numPr>
        <w:suppressAutoHyphens/>
        <w:spacing w:before="240" w:after="240" w:line="360" w:lineRule="auto"/>
        <w:ind w:left="0" w:firstLine="0"/>
        <w:contextualSpacing w:val="0"/>
        <w:jc w:val="both"/>
        <w:rPr>
          <w:b/>
          <w:bCs/>
        </w:rPr>
      </w:pPr>
      <w:r>
        <w:t>A atestação final de conformidade do fornecimento cabe à Secretaria Municipal Requisitante;</w:t>
      </w:r>
    </w:p>
    <w:p w14:paraId="6098B813">
      <w:pPr>
        <w:pStyle w:val="72"/>
        <w:numPr>
          <w:ilvl w:val="1"/>
          <w:numId w:val="23"/>
        </w:numPr>
        <w:suppressAutoHyphens/>
        <w:spacing w:before="240" w:after="240" w:line="360" w:lineRule="auto"/>
        <w:ind w:left="0" w:firstLine="0"/>
        <w:contextualSpacing w:val="0"/>
        <w:jc w:val="both"/>
        <w:rPr>
          <w:b/>
          <w:bCs/>
        </w:rPr>
      </w:pPr>
      <w:r>
        <w:t>Caso os itens estejam em desacordo com as especificações exigidas neste TR ou apresentarem vício, serão recusados e devolvidos parcial ou totalmente, conforme o caso, mediante Termo de Recusa, ficando a CONTRATADA obrigada a substituí-los no prazo de 5 (cinco) dias úteis, contados do recebimento da notificação, sem ônus para o contratante, sob pena de incorrer em atraso quanto ao prazo de execução;</w:t>
      </w:r>
    </w:p>
    <w:p w14:paraId="5DDAAA36">
      <w:pPr>
        <w:pStyle w:val="72"/>
        <w:numPr>
          <w:ilvl w:val="1"/>
          <w:numId w:val="23"/>
        </w:numPr>
        <w:suppressAutoHyphens/>
        <w:spacing w:before="240" w:after="240" w:line="360" w:lineRule="auto"/>
        <w:ind w:left="0" w:firstLine="0"/>
        <w:contextualSpacing w:val="0"/>
        <w:jc w:val="both"/>
        <w:rPr>
          <w:b/>
          <w:bCs/>
        </w:rPr>
      </w:pPr>
      <w:r>
        <w:t>Somente após a verificação do enquadramento dos materiais com as especificações definidas neste TR, dar-se-á o recebimento definitivo por servidor responsável, no prazo máximo de 15 (quinze) dias corridos a contar do recebimento provisório, após a verificação da conformidade com as especificações e demais exigências estabelecidas nesta contratação, atestando no documento de entrega, o recebimento em condições satisfatórias, em termos de quantidade e qualidade, conforme o inciso II, alínea b, do art. 140 da Lei nº 14.133/2021;</w:t>
      </w:r>
    </w:p>
    <w:p w14:paraId="28C0B661">
      <w:pPr>
        <w:pStyle w:val="72"/>
        <w:numPr>
          <w:ilvl w:val="1"/>
          <w:numId w:val="23"/>
        </w:numPr>
        <w:suppressAutoHyphens/>
        <w:spacing w:before="240" w:after="240" w:line="360" w:lineRule="auto"/>
        <w:ind w:left="0" w:firstLine="0"/>
        <w:contextualSpacing w:val="0"/>
        <w:jc w:val="both"/>
        <w:rPr>
          <w:b/>
          <w:bCs/>
        </w:rPr>
      </w:pPr>
      <w:r>
        <w:t>Será recusado o material deteriorado, alterado, adulterado, avariado, corrompido, fraudado, bem como aquele em desacordo com as normas regulamentares de fabricação, distribuição e apresentação;</w:t>
      </w:r>
    </w:p>
    <w:p w14:paraId="04217C23">
      <w:pPr>
        <w:pStyle w:val="72"/>
        <w:numPr>
          <w:ilvl w:val="1"/>
          <w:numId w:val="23"/>
        </w:numPr>
        <w:suppressAutoHyphens/>
        <w:spacing w:before="240" w:after="240" w:line="360" w:lineRule="auto"/>
        <w:ind w:left="0" w:firstLine="0"/>
        <w:contextualSpacing w:val="0"/>
        <w:jc w:val="both"/>
        <w:rPr>
          <w:b/>
          <w:bCs/>
        </w:rPr>
      </w:pPr>
      <w:r>
        <w:t>O servidor designado como fiscal poderá solicitar a substituição de um material por outro em caso de defeito, no prazo máximo de 05 (cinco) dias úteis, contados a partir do recebimento daquele que foi devolvido, sem prejuízo para o disposto nos artigos 441 a 446 do Código Civil;</w:t>
      </w:r>
    </w:p>
    <w:p w14:paraId="13A3F67A">
      <w:pPr>
        <w:pStyle w:val="72"/>
        <w:numPr>
          <w:ilvl w:val="1"/>
          <w:numId w:val="23"/>
        </w:numPr>
        <w:suppressAutoHyphens/>
        <w:spacing w:before="240" w:after="240" w:line="360" w:lineRule="auto"/>
        <w:ind w:left="0" w:firstLine="0"/>
        <w:contextualSpacing w:val="0"/>
        <w:jc w:val="both"/>
        <w:rPr>
          <w:b/>
          <w:bCs/>
        </w:rPr>
      </w:pPr>
      <w:r>
        <w:t>O recebimento definitivo não exclui a responsabilidade da CONTRATADA pelo perfeito estado do material fornecido, cabendo-lhe sanar quaisquer irregularidades detectadas quando da sua utilização;</w:t>
      </w:r>
    </w:p>
    <w:p w14:paraId="14335CCC">
      <w:pPr>
        <w:pStyle w:val="72"/>
        <w:numPr>
          <w:ilvl w:val="0"/>
          <w:numId w:val="23"/>
        </w:numPr>
        <w:suppressAutoHyphens/>
        <w:spacing w:before="240" w:after="240" w:line="360" w:lineRule="auto"/>
        <w:contextualSpacing w:val="0"/>
        <w:jc w:val="both"/>
        <w:outlineLvl w:val="1"/>
        <w:rPr>
          <w:b/>
          <w:bCs/>
        </w:rPr>
      </w:pPr>
      <w:r>
        <w:rPr>
          <w:b/>
          <w:bCs/>
        </w:rPr>
        <w:t>OBRIGAÇÕES DA CONTRATANTE</w:t>
      </w:r>
    </w:p>
    <w:p w14:paraId="117BB39D">
      <w:pPr>
        <w:suppressAutoHyphens/>
        <w:spacing w:before="240" w:after="240" w:line="360" w:lineRule="auto"/>
        <w:jc w:val="both"/>
      </w:pPr>
      <w:r>
        <w:rPr>
          <w:b/>
          <w:bCs/>
        </w:rPr>
        <w:t>20.1.</w:t>
      </w:r>
      <w:r>
        <w:t xml:space="preserve"> A CONTRATANTE, na qualidade de contratante dos serviços, terá as seguintes obrigações, visando a boa execução e fiscalização do Contrato:</w:t>
      </w:r>
    </w:p>
    <w:p w14:paraId="51A635AC">
      <w:pPr>
        <w:pStyle w:val="72"/>
        <w:suppressAutoHyphens/>
        <w:spacing w:before="240" w:after="240" w:line="360" w:lineRule="auto"/>
        <w:ind w:left="0"/>
        <w:contextualSpacing w:val="0"/>
        <w:jc w:val="both"/>
      </w:pPr>
      <w:r>
        <w:rPr>
          <w:b/>
          <w:bCs/>
        </w:rPr>
        <w:t>20.2.</w:t>
      </w:r>
      <w:r>
        <w:t xml:space="preserve"> Avaliar a qualidade dos serviços prestados pela CONTRATADA, assegurando conformidade com as especificações e padrões exigidos.</w:t>
      </w:r>
    </w:p>
    <w:p w14:paraId="7065E4B1">
      <w:pPr>
        <w:pStyle w:val="72"/>
        <w:suppressAutoHyphens/>
        <w:spacing w:before="240" w:after="240" w:line="360" w:lineRule="auto"/>
        <w:ind w:left="0"/>
        <w:contextualSpacing w:val="0"/>
        <w:jc w:val="both"/>
      </w:pPr>
      <w:r>
        <w:rPr>
          <w:b/>
          <w:bCs/>
        </w:rPr>
        <w:t>20.3.</w:t>
      </w:r>
      <w:r>
        <w:t xml:space="preserve"> Realizar os pagamentos devidos à CONTRATADA, conforme condições, prazos e valores estabelecidos neste Termo de Referência e no Contrato.</w:t>
      </w:r>
    </w:p>
    <w:p w14:paraId="10035902">
      <w:pPr>
        <w:pStyle w:val="72"/>
        <w:suppressAutoHyphens/>
        <w:spacing w:before="240" w:after="240" w:line="360" w:lineRule="auto"/>
        <w:ind w:left="0"/>
        <w:contextualSpacing w:val="0"/>
        <w:jc w:val="both"/>
      </w:pPr>
      <w:r>
        <w:t>20.4. Emitir a Ordem de Execução de Serviço (OES) de forma clara e completa, contendo obrigatoriamente: identificação da Unidade Requisitante, número da Nota de Empenho, número do Processo Administrativo, número do Contrato e identificação detalhada da CONTRATADA.</w:t>
      </w:r>
    </w:p>
    <w:p w14:paraId="6B7A5B32">
      <w:pPr>
        <w:pStyle w:val="72"/>
        <w:suppressAutoHyphens/>
        <w:spacing w:before="240" w:after="240" w:line="360" w:lineRule="auto"/>
        <w:ind w:left="0"/>
        <w:contextualSpacing w:val="0"/>
        <w:jc w:val="both"/>
      </w:pPr>
      <w:r>
        <w:t>20.5. Rejeitar, no todo ou em parte, os serviços e/ou equipamentos que apresentem irregularidades ou não conformidades, podendo determinar substituição ou rescisão contratual, sem prejuízo das penalidades cabíveis.</w:t>
      </w:r>
    </w:p>
    <w:p w14:paraId="50097337">
      <w:pPr>
        <w:pStyle w:val="72"/>
        <w:suppressAutoHyphens/>
        <w:spacing w:before="240" w:after="240" w:line="360" w:lineRule="auto"/>
        <w:ind w:left="0"/>
        <w:contextualSpacing w:val="0"/>
        <w:jc w:val="both"/>
      </w:pPr>
      <w:r>
        <w:t>20.6. Exercer fiscalização efetiva e contínua dos serviços contratados, garantindo o cumprimento integral das cláusulas e condições contratuais.</w:t>
      </w:r>
    </w:p>
    <w:p w14:paraId="1595EE1C">
      <w:pPr>
        <w:pStyle w:val="72"/>
        <w:suppressAutoHyphens/>
        <w:spacing w:before="240" w:after="240" w:line="360" w:lineRule="auto"/>
        <w:ind w:left="0"/>
        <w:contextualSpacing w:val="0"/>
        <w:jc w:val="both"/>
      </w:pPr>
      <w:r>
        <w:t>20.7. Atestar documentos de despesa para processamento e pagamento somente após comprovar o fiel cumprimento dos serviços, com base nas medições mensais aprovadas, incluindo:</w:t>
      </w:r>
    </w:p>
    <w:p w14:paraId="33DC5594">
      <w:pPr>
        <w:suppressAutoHyphens/>
        <w:spacing w:before="240" w:after="240" w:line="360" w:lineRule="auto"/>
        <w:jc w:val="both"/>
      </w:pPr>
      <w:r>
        <w:t>20.7.1. Exigir o cumprimento rigoroso das obrigações assumidas pela CONTRATADA, em conformidade com o Contrato e seus anexos;</w:t>
      </w:r>
    </w:p>
    <w:p w14:paraId="26CBEB74">
      <w:pPr>
        <w:pStyle w:val="72"/>
        <w:suppressAutoHyphens/>
        <w:spacing w:before="240" w:after="240" w:line="360" w:lineRule="auto"/>
        <w:ind w:left="0"/>
        <w:contextualSpacing w:val="0"/>
        <w:jc w:val="both"/>
      </w:pPr>
      <w:r>
        <w:t>20.7.2. Comunicar tempestivamente à CONTRATADA quaisquer falhas ou irregularidades, concedendo prazo para correção;</w:t>
      </w:r>
    </w:p>
    <w:p w14:paraId="78148F10">
      <w:pPr>
        <w:pStyle w:val="72"/>
        <w:suppressAutoHyphens/>
        <w:spacing w:before="240" w:after="240" w:line="360" w:lineRule="auto"/>
        <w:ind w:left="0"/>
        <w:contextualSpacing w:val="0"/>
        <w:jc w:val="both"/>
      </w:pPr>
      <w:r>
        <w:t>20.7.3. Responder aos pedidos de reequilíbrio econômico-financeiro em até 30 (trinta) dias, conforme art. 135 da Lei nº 14.133/2021;</w:t>
      </w:r>
    </w:p>
    <w:p w14:paraId="47C1556B">
      <w:pPr>
        <w:pStyle w:val="72"/>
        <w:suppressAutoHyphens/>
        <w:spacing w:before="240" w:after="240" w:line="360" w:lineRule="auto"/>
        <w:ind w:left="0"/>
        <w:contextualSpacing w:val="0"/>
        <w:jc w:val="both"/>
      </w:pPr>
      <w:r>
        <w:t>20.7.4. Notificar os garantidores em processos administrativos relativos a descumprimentos contratuais, conforme art. 137, § 4º, da Lei nº 14.133/2021;</w:t>
      </w:r>
    </w:p>
    <w:p w14:paraId="5EF6C668">
      <w:pPr>
        <w:pStyle w:val="72"/>
        <w:suppressAutoHyphens/>
        <w:spacing w:before="240" w:after="240" w:line="360" w:lineRule="auto"/>
        <w:ind w:left="0"/>
        <w:contextualSpacing w:val="0"/>
        <w:jc w:val="both"/>
      </w:pPr>
      <w:r>
        <w:t>20.7.5. Não se responsabilizar por compromissos assumidos pela CONTRATADA com terceiros nem por danos causados por seus agentes;</w:t>
      </w:r>
    </w:p>
    <w:p w14:paraId="3C266A22">
      <w:pPr>
        <w:pStyle w:val="72"/>
        <w:suppressAutoHyphens/>
        <w:spacing w:before="240" w:after="240" w:line="360" w:lineRule="auto"/>
        <w:ind w:left="0"/>
        <w:contextualSpacing w:val="0"/>
        <w:jc w:val="both"/>
      </w:pPr>
      <w:r>
        <w:t>20.7.6. Fornecer formalmente a OES como instrumento de solicitação dos serviços;</w:t>
      </w:r>
    </w:p>
    <w:p w14:paraId="28C278D6">
      <w:pPr>
        <w:pStyle w:val="72"/>
        <w:suppressAutoHyphens/>
        <w:spacing w:before="240" w:after="240" w:line="360" w:lineRule="auto"/>
        <w:ind w:left="0"/>
        <w:contextualSpacing w:val="0"/>
        <w:jc w:val="both"/>
      </w:pPr>
      <w:r>
        <w:t>20.7.7. Designar servidores para fiscalização, mantendo registros claros de todas as ocorrências;</w:t>
      </w:r>
    </w:p>
    <w:p w14:paraId="47A28574">
      <w:pPr>
        <w:pStyle w:val="72"/>
        <w:suppressAutoHyphens/>
        <w:spacing w:before="240" w:after="240" w:line="360" w:lineRule="auto"/>
        <w:ind w:left="0"/>
        <w:contextualSpacing w:val="0"/>
        <w:jc w:val="both"/>
      </w:pPr>
      <w:r>
        <w:t>20.7.8. Prestar informações e esclarecimentos à CONTRATADA para garantir execução correta;</w:t>
      </w:r>
    </w:p>
    <w:p w14:paraId="40E69991">
      <w:pPr>
        <w:pStyle w:val="72"/>
        <w:suppressAutoHyphens/>
        <w:spacing w:before="240" w:after="240" w:line="360" w:lineRule="auto"/>
        <w:ind w:left="0"/>
        <w:contextualSpacing w:val="0"/>
        <w:jc w:val="both"/>
      </w:pPr>
      <w:r>
        <w:t>20.7.9. Garantir a qualidade dos serviços, monitorando desempenho e conformidade técnica;</w:t>
      </w:r>
    </w:p>
    <w:p w14:paraId="699E3520">
      <w:pPr>
        <w:pStyle w:val="72"/>
        <w:suppressAutoHyphens/>
        <w:spacing w:before="240" w:after="240" w:line="360" w:lineRule="auto"/>
        <w:ind w:left="0"/>
        <w:contextualSpacing w:val="0"/>
        <w:jc w:val="both"/>
      </w:pPr>
      <w:r>
        <w:t>20.7.10. Desenvolver mecanismos para otimizar a execução contratual;</w:t>
      </w:r>
    </w:p>
    <w:p w14:paraId="75690A94">
      <w:pPr>
        <w:pStyle w:val="72"/>
        <w:suppressAutoHyphens/>
        <w:spacing w:before="240" w:after="240" w:line="360" w:lineRule="auto"/>
        <w:ind w:left="0"/>
        <w:contextualSpacing w:val="0"/>
        <w:jc w:val="both"/>
      </w:pPr>
      <w:r>
        <w:t>20.7.11. Exercer ampla fiscalização, rejeitando serviços que não atendam às especificações;</w:t>
      </w:r>
    </w:p>
    <w:p w14:paraId="59C7B691">
      <w:pPr>
        <w:pStyle w:val="72"/>
        <w:suppressAutoHyphens/>
        <w:spacing w:before="240" w:after="240" w:line="360" w:lineRule="auto"/>
        <w:ind w:left="0"/>
        <w:contextualSpacing w:val="0"/>
        <w:jc w:val="both"/>
      </w:pPr>
      <w:r>
        <w:t>20.7.12. Acompanhar o cumprimento das obrigações contratuais;</w:t>
      </w:r>
    </w:p>
    <w:p w14:paraId="5DB3BA9B">
      <w:pPr>
        <w:pStyle w:val="72"/>
        <w:suppressAutoHyphens/>
        <w:spacing w:before="240" w:after="240" w:line="360" w:lineRule="auto"/>
        <w:ind w:left="0"/>
        <w:contextualSpacing w:val="0"/>
        <w:jc w:val="both"/>
      </w:pPr>
      <w:r>
        <w:t>20.7.13. Efetuar pagamentos conforme condições contratuais;</w:t>
      </w:r>
    </w:p>
    <w:p w14:paraId="530AB5A8">
      <w:pPr>
        <w:pStyle w:val="72"/>
        <w:suppressAutoHyphens/>
        <w:spacing w:before="240" w:after="240" w:line="360" w:lineRule="auto"/>
        <w:ind w:left="0"/>
        <w:contextualSpacing w:val="0"/>
        <w:jc w:val="both"/>
      </w:pPr>
      <w:r>
        <w:t>20.7.14. Manifestar-se formalmente sobre sanções, alterações e repactuações, assegurando transparência;</w:t>
      </w:r>
    </w:p>
    <w:p w14:paraId="5CE7D6B4">
      <w:pPr>
        <w:pStyle w:val="72"/>
        <w:suppressAutoHyphens/>
        <w:spacing w:before="240" w:after="240" w:line="360" w:lineRule="auto"/>
        <w:ind w:left="0"/>
        <w:contextualSpacing w:val="0"/>
        <w:jc w:val="both"/>
      </w:pPr>
      <w:r>
        <w:t>20.7.15. Decidir sobre solicitações e reclamações pertinentes à execução contratual;</w:t>
      </w:r>
    </w:p>
    <w:p w14:paraId="4524AE14">
      <w:pPr>
        <w:pStyle w:val="72"/>
        <w:suppressAutoHyphens/>
        <w:spacing w:before="240" w:after="240" w:line="360" w:lineRule="auto"/>
        <w:ind w:left="0"/>
        <w:contextualSpacing w:val="0"/>
        <w:jc w:val="both"/>
      </w:pPr>
      <w:r>
        <w:t>20.7.16. Responder a essas solicitações em até 60 (sessenta) dias, prorrogáveis por igual período;</w:t>
      </w:r>
    </w:p>
    <w:p w14:paraId="2B370451">
      <w:pPr>
        <w:pStyle w:val="72"/>
        <w:suppressAutoHyphens/>
        <w:spacing w:before="240" w:after="240" w:line="360" w:lineRule="auto"/>
        <w:ind w:left="0"/>
        <w:contextualSpacing w:val="0"/>
        <w:jc w:val="both"/>
      </w:pPr>
      <w:r>
        <w:t>20.7.17. Aplicar sanções legais e contratuais quando necessário;</w:t>
      </w:r>
    </w:p>
    <w:p w14:paraId="78AD631A">
      <w:pPr>
        <w:pStyle w:val="72"/>
        <w:suppressAutoHyphens/>
        <w:spacing w:before="240" w:after="240" w:line="360" w:lineRule="auto"/>
        <w:ind w:left="0"/>
        <w:contextualSpacing w:val="0"/>
        <w:jc w:val="both"/>
      </w:pPr>
      <w:r>
        <w:t>20.7.18. Observar toda a legislação aplicável à execução do Contrato.</w:t>
      </w:r>
    </w:p>
    <w:p w14:paraId="2EBFC7D2">
      <w:pPr>
        <w:pStyle w:val="72"/>
        <w:suppressAutoHyphens/>
        <w:spacing w:before="240" w:after="240" w:line="360" w:lineRule="auto"/>
        <w:ind w:left="0"/>
        <w:contextualSpacing w:val="0"/>
        <w:jc w:val="both"/>
      </w:pPr>
      <w:r>
        <w:t>20.7.19. Garantir que a execução dos serviços seja acompanhada e fiscalizada por profissionais das secretarias competentes, que atestarão os serviços em cada período de medição.</w:t>
      </w:r>
    </w:p>
    <w:p w14:paraId="0E618202">
      <w:pPr>
        <w:pStyle w:val="72"/>
        <w:numPr>
          <w:ilvl w:val="0"/>
          <w:numId w:val="23"/>
        </w:numPr>
        <w:spacing w:before="240" w:after="240" w:line="360" w:lineRule="auto"/>
        <w:contextualSpacing w:val="0"/>
        <w:jc w:val="both"/>
        <w:outlineLvl w:val="1"/>
        <w:rPr>
          <w:b/>
          <w:bCs/>
        </w:rPr>
      </w:pPr>
      <w:r>
        <w:rPr>
          <w:b/>
          <w:bCs/>
        </w:rPr>
        <w:t>OBRIGAÇÕES DA CONTRATADA</w:t>
      </w:r>
    </w:p>
    <w:p w14:paraId="4DC53B7A">
      <w:pPr>
        <w:suppressAutoHyphens/>
        <w:spacing w:before="240" w:after="240" w:line="360" w:lineRule="auto"/>
        <w:jc w:val="both"/>
      </w:pPr>
      <w:r>
        <w:t>21.1. A CONTRATADA, responsável pela execução dos serviços, terá as seguintes obrigações, essenciais para o cumprimento do Contrato e a manutenção da qualidade:</w:t>
      </w:r>
    </w:p>
    <w:p w14:paraId="22878C5E">
      <w:pPr>
        <w:suppressAutoHyphens/>
        <w:spacing w:before="240" w:after="240" w:line="360" w:lineRule="auto"/>
        <w:jc w:val="both"/>
      </w:pPr>
      <w:r>
        <w:t>21.1.1. Manter, durante toda a vigência do Contrato, a validade da certidão de registro e regularidade junto ao CREA, tanto da empresa licitante quanto dos profissionais registrados responsáveis técnicos, garantindo a habilitação técnica contínua.</w:t>
      </w:r>
    </w:p>
    <w:p w14:paraId="18FCE6C1">
      <w:pPr>
        <w:pStyle w:val="72"/>
        <w:suppressAutoHyphens/>
        <w:spacing w:before="240" w:after="240" w:line="360" w:lineRule="auto"/>
        <w:ind w:left="0"/>
        <w:contextualSpacing w:val="0"/>
        <w:jc w:val="both"/>
      </w:pPr>
      <w:r>
        <w:t>21.1.2. Fornecer todas as ferramentas, equipamentos técnicos e acessórios de segurança (capacetes, cinturões, escadas, botas, etc.) necessários para que sua equipe técnica execute os serviços com segurança e eficiência, em conformidade com as normas de segurança do trabalho.</w:t>
      </w:r>
    </w:p>
    <w:p w14:paraId="116D5211">
      <w:pPr>
        <w:pStyle w:val="72"/>
        <w:suppressAutoHyphens/>
        <w:spacing w:before="240" w:after="240" w:line="360" w:lineRule="auto"/>
        <w:ind w:left="0"/>
        <w:contextualSpacing w:val="0"/>
        <w:jc w:val="both"/>
      </w:pPr>
      <w:r>
        <w:t>21.1.3. Aceitar os acréscimos ou supressões no objeto do Contrato, nos limites estabelecidos pelo art. 125 da Lei nº 14.133/2021, que permite alterações unilaterais pela CONTRATANTE até 25% do valor inicial atualizado do contrato.</w:t>
      </w:r>
    </w:p>
    <w:p w14:paraId="29F20C6D">
      <w:pPr>
        <w:pStyle w:val="72"/>
        <w:suppressAutoHyphens/>
        <w:spacing w:before="240" w:after="240" w:line="360" w:lineRule="auto"/>
        <w:ind w:left="0"/>
        <w:contextualSpacing w:val="0"/>
        <w:jc w:val="both"/>
      </w:pPr>
      <w:r>
        <w:t>21.1.4. Realizar todo e qualquer atendimento necessário entre a CONTRATANTE e a CONTRATADA, durante toda a vigência dos serviços contratados, garantindo comunicação eficaz e resolução de demandas.</w:t>
      </w:r>
    </w:p>
    <w:p w14:paraId="45D3788E">
      <w:pPr>
        <w:pStyle w:val="72"/>
        <w:suppressAutoHyphens/>
        <w:spacing w:before="240" w:after="240" w:line="360" w:lineRule="auto"/>
        <w:ind w:left="0"/>
        <w:contextualSpacing w:val="0"/>
        <w:jc w:val="both"/>
      </w:pPr>
      <w:r>
        <w:t>21.1.5. Executar os serviços em perfeitas condições, cumprindo rigorosamente as especificações, descrições detalhadas e padrões de qualidade estabelecidos neste Termo de Referência.</w:t>
      </w:r>
    </w:p>
    <w:p w14:paraId="5CC4B9F3">
      <w:pPr>
        <w:pStyle w:val="72"/>
        <w:suppressAutoHyphens/>
        <w:spacing w:before="240" w:after="240" w:line="360" w:lineRule="auto"/>
        <w:ind w:left="0"/>
        <w:contextualSpacing w:val="0"/>
        <w:jc w:val="both"/>
      </w:pPr>
      <w:r>
        <w:t>21.1.6. Disponibilizar todas as informações armazenadas em banco de dados, conforme necessidade e solicitação da CONTRATANTE, assegurando acesso aos dados gerados e coletados.</w:t>
      </w:r>
    </w:p>
    <w:p w14:paraId="021E7B5E">
      <w:pPr>
        <w:pStyle w:val="72"/>
        <w:suppressAutoHyphens/>
        <w:spacing w:before="240" w:after="240" w:line="360" w:lineRule="auto"/>
        <w:ind w:left="0"/>
        <w:contextualSpacing w:val="0"/>
        <w:jc w:val="both"/>
      </w:pPr>
      <w:r>
        <w:t>21.1.7. Apresentar declaração indicando o corpo técnico adequado e disponível para a realização do objeto da licitação, comprovando a capacidade técnica da equipe.</w:t>
      </w:r>
    </w:p>
    <w:p w14:paraId="666F81B0">
      <w:pPr>
        <w:pStyle w:val="72"/>
        <w:suppressAutoHyphens/>
        <w:spacing w:before="240" w:after="240" w:line="360" w:lineRule="auto"/>
        <w:ind w:left="0"/>
        <w:contextualSpacing w:val="0"/>
        <w:jc w:val="both"/>
      </w:pPr>
      <w:r>
        <w:t>21.1.8. Durante a vigência do Contrato, assegurar a disponibilidade de todos os equipamentos, materiais, softwares, serviços e infraestrutura de telecomunicações (infovias) 24 horas por dia, todos os dias da semana, garantindo a ininterrupta operação.</w:t>
      </w:r>
    </w:p>
    <w:p w14:paraId="5ECF3426">
      <w:pPr>
        <w:pStyle w:val="72"/>
        <w:suppressAutoHyphens/>
        <w:spacing w:before="240" w:after="240" w:line="360" w:lineRule="auto"/>
        <w:ind w:left="0"/>
        <w:contextualSpacing w:val="0"/>
        <w:jc w:val="both"/>
      </w:pPr>
      <w:r>
        <w:t>21.1.9. Executar instalações, manutenções e prestar suporte técnico com profissionais uniformizados e identificados por meio de crachás, para segurança e reconhecimento.</w:t>
      </w:r>
    </w:p>
    <w:p w14:paraId="4E108646">
      <w:pPr>
        <w:pStyle w:val="72"/>
        <w:suppressAutoHyphens/>
        <w:spacing w:before="240" w:after="240" w:line="360" w:lineRule="auto"/>
        <w:ind w:left="0"/>
        <w:contextualSpacing w:val="0"/>
        <w:jc w:val="both"/>
      </w:pPr>
      <w:r>
        <w:t>21.1.10. Substituir prontamente a equipe técnica sempre que esta não atender às necessidades, normas técnicas ou padrões de conduta exigidos pela CONTRATANTE.</w:t>
      </w:r>
    </w:p>
    <w:p w14:paraId="6AFBF78E">
      <w:pPr>
        <w:pStyle w:val="72"/>
        <w:suppressAutoHyphens/>
        <w:spacing w:before="240" w:after="240" w:line="360" w:lineRule="auto"/>
        <w:ind w:left="0"/>
        <w:contextualSpacing w:val="0"/>
        <w:jc w:val="both"/>
      </w:pPr>
      <w:r>
        <w:t>21.1.11. Ministrar treinamento anual para, no mínimo, 08 (oito) servidores da CONTRATANTE, abrangendo o uso e instalação do software de videomonitoramento e do software de análise e inteligência. O treinamento deverá iniciar imediatamente após solicitação formal.</w:t>
      </w:r>
    </w:p>
    <w:p w14:paraId="5F54F167">
      <w:pPr>
        <w:pStyle w:val="72"/>
        <w:suppressAutoHyphens/>
        <w:spacing w:before="240" w:after="240" w:line="360" w:lineRule="auto"/>
        <w:ind w:left="0"/>
        <w:contextualSpacing w:val="0"/>
        <w:jc w:val="both"/>
      </w:pPr>
      <w:r>
        <w:t>21.1.12. Para otimizar o atendimento aos Acordos de Nível de Serviço (SLA), deverá:</w:t>
      </w:r>
    </w:p>
    <w:p w14:paraId="58BDEF22">
      <w:pPr>
        <w:pStyle w:val="72"/>
        <w:suppressAutoHyphens/>
        <w:spacing w:before="240" w:after="240" w:line="360" w:lineRule="auto"/>
        <w:ind w:left="0"/>
        <w:contextualSpacing w:val="0"/>
        <w:jc w:val="both"/>
      </w:pPr>
      <w:r>
        <w:t>21.1.12.1. Disponibilizar telefone e e-mail para abertura e acompanhamento de chamados técnicos;</w:t>
      </w:r>
    </w:p>
    <w:p w14:paraId="098BC8B7">
      <w:pPr>
        <w:pStyle w:val="72"/>
        <w:suppressAutoHyphens/>
        <w:spacing w:before="240" w:after="240" w:line="360" w:lineRule="auto"/>
        <w:ind w:left="0"/>
        <w:contextualSpacing w:val="0"/>
        <w:jc w:val="both"/>
      </w:pPr>
      <w:r>
        <w:t>21.1.12.2. Designar um preposto como gestor do projeto, principal ponto de contato, responsável pela execução dos serviços e acompanhamento dos atendimentos;</w:t>
      </w:r>
    </w:p>
    <w:p w14:paraId="529FD465">
      <w:pPr>
        <w:pStyle w:val="72"/>
        <w:suppressAutoHyphens/>
        <w:spacing w:before="240" w:after="240" w:line="360" w:lineRule="auto"/>
        <w:ind w:left="0"/>
        <w:contextualSpacing w:val="0"/>
        <w:jc w:val="both"/>
      </w:pPr>
      <w:r>
        <w:t>21.1.12.3. Garantir que o gestor participe das reuniões com a CONTRATANTE, sempre que necessário, para otimizar o funcionamento do sistema de monitoramento de infrações de trânsito;</w:t>
      </w:r>
    </w:p>
    <w:p w14:paraId="58A3FE35">
      <w:pPr>
        <w:pStyle w:val="72"/>
        <w:suppressAutoHyphens/>
        <w:spacing w:before="240" w:after="240" w:line="360" w:lineRule="auto"/>
        <w:ind w:left="0"/>
        <w:contextualSpacing w:val="0"/>
        <w:jc w:val="both"/>
      </w:pPr>
      <w:r>
        <w:t>21.1.12.4. Ao término do Contrato, disponibilizar todos os dados cadastrados, imagens e vídeos coletados pelo sistema, em formato definido pelo MUNICÍPIO, e fornecer programa para consulta desses dados, assegurando continuidade das informações.</w:t>
      </w:r>
    </w:p>
    <w:p w14:paraId="265C1717">
      <w:pPr>
        <w:pStyle w:val="72"/>
        <w:suppressAutoHyphens/>
        <w:spacing w:before="240" w:after="240" w:line="360" w:lineRule="auto"/>
        <w:ind w:left="0"/>
        <w:contextualSpacing w:val="0"/>
        <w:jc w:val="both"/>
      </w:pPr>
      <w:r>
        <w:t>21.1.13. Ser responsável pela montagem e instalação de uma sala de reunião na Secretaria Municipal de Mobilidade Urbana (SEMOB), equipada com uma central de acompanhamento em tempo real da sinalização eletrônica, permitindo a visualização e monitoramento de todos os pontos de fiscalização eletrônica instalados. A sala deve facilitar a tomada de decisões e a coordenação das ações de fiscalização, contribuindo para a eficiência do sistema de controle de trânsito.</w:t>
      </w:r>
    </w:p>
    <w:p w14:paraId="35EE8D0C">
      <w:pPr>
        <w:pStyle w:val="72"/>
        <w:numPr>
          <w:ilvl w:val="0"/>
          <w:numId w:val="23"/>
        </w:numPr>
        <w:spacing w:before="240" w:after="240" w:line="360" w:lineRule="auto"/>
        <w:jc w:val="both"/>
        <w:outlineLvl w:val="1"/>
        <w:rPr>
          <w:rStyle w:val="101"/>
          <w:b/>
          <w:bCs/>
        </w:rPr>
      </w:pPr>
      <w:r>
        <w:rPr>
          <w:rStyle w:val="101"/>
          <w:b/>
          <w:bCs/>
        </w:rPr>
        <w:t>MODELO DE GESTÃO DO CONTRATO</w:t>
      </w:r>
    </w:p>
    <w:p w14:paraId="1BA5C7F9">
      <w:pPr>
        <w:suppressAutoHyphens/>
        <w:spacing w:before="240" w:after="240" w:line="360" w:lineRule="auto"/>
        <w:jc w:val="both"/>
      </w:pPr>
      <w:r>
        <w:t>22.1. A gestão do Contrato será realizada de forma a assegurar o cumprimento integral das obrigações por ambas as partes, com base nas disposições contratuais e na Lei nº 14.133, de 2021.</w:t>
      </w:r>
    </w:p>
    <w:p w14:paraId="41F5614A">
      <w:pPr>
        <w:pStyle w:val="72"/>
        <w:suppressAutoHyphens/>
        <w:spacing w:before="240" w:after="240" w:line="360" w:lineRule="auto"/>
        <w:ind w:left="0"/>
        <w:contextualSpacing w:val="0"/>
        <w:jc w:val="both"/>
      </w:pPr>
      <w:r>
        <w:t>22.2. O Contrato deverá ser executado fielmente pelas partes, em conformidade com as cláusulas contratuais e as disposições da Lei nº 14.133/2021. Cada parte será responsável pelas consequências decorrentes do seu inadimplemento total ou parcial.</w:t>
      </w:r>
    </w:p>
    <w:p w14:paraId="7DA238CF">
      <w:pPr>
        <w:pStyle w:val="72"/>
        <w:suppressAutoHyphens/>
        <w:spacing w:before="240" w:after="240" w:line="360" w:lineRule="auto"/>
        <w:ind w:left="0"/>
        <w:contextualSpacing w:val="0"/>
        <w:jc w:val="both"/>
      </w:pPr>
      <w:r>
        <w:t>22.3. Em caso de impedimento, ordem de paralisação ou suspensão do Contrato, o cronograma de execução será automaticamente prorrogado pelo período correspondente à interrupção. Tais circunstâncias deverão ser formalizadas por meio de apostilamento, garantindo a devida regularização contratual.</w:t>
      </w:r>
    </w:p>
    <w:p w14:paraId="536A50BD">
      <w:pPr>
        <w:pStyle w:val="72"/>
        <w:suppressAutoHyphens/>
        <w:spacing w:before="240" w:after="240" w:line="360" w:lineRule="auto"/>
        <w:ind w:left="0"/>
        <w:contextualSpacing w:val="0"/>
        <w:jc w:val="both"/>
      </w:pPr>
      <w:r>
        <w:t>22.4. As comunicações entre o órgão ou entidade contratante e a CONTRATADA deverão ser realizadas por escrito sempre que o ato exigir essa formalidade. Para essa finalidade, é admitido o uso de mensagem eletrônica, desde que seja garantida a comprovação da comunicação.</w:t>
      </w:r>
    </w:p>
    <w:p w14:paraId="30A84019">
      <w:pPr>
        <w:pStyle w:val="72"/>
        <w:suppressAutoHyphens/>
        <w:spacing w:before="240" w:after="240" w:line="360" w:lineRule="auto"/>
        <w:ind w:left="0"/>
        <w:contextualSpacing w:val="0"/>
        <w:jc w:val="both"/>
      </w:pPr>
      <w:r>
        <w:t>22.5. O órgão ou entidade contratante poderá convocar representante da CONTRATADA para adoção de providências que demandem cumprimento imediato, assegurando a agilidade na resolução de questões críticas.</w:t>
      </w:r>
    </w:p>
    <w:p w14:paraId="41AFC5F7">
      <w:pPr>
        <w:pStyle w:val="72"/>
        <w:suppressAutoHyphens/>
        <w:spacing w:before="240" w:after="240" w:line="360" w:lineRule="auto"/>
        <w:ind w:left="0"/>
        <w:contextualSpacing w:val="0"/>
        <w:jc w:val="both"/>
      </w:pPr>
      <w:r>
        <w:t>22.6. Após a assinatura do Contrato, o órgão ou entidade contratante poderá convocar o representante da CONTRATADA para reunião inicial. O objetivo desta reunião é apresentar o plano de fiscalização, contendo informações detalhadas sobre obrigações contratuais, mecanismos de fiscalização, estratégias de execução, plano complementar da CONTRATADA (quando houver), métodos de aferição dos resultados e sanções aplicáveis, entre outros aspectos relevantes para a gestão eficiente do Contrato.</w:t>
      </w:r>
    </w:p>
    <w:p w14:paraId="0F4A6821">
      <w:pPr>
        <w:pStyle w:val="72"/>
        <w:suppressAutoHyphens/>
        <w:spacing w:before="240" w:after="240" w:line="360" w:lineRule="auto"/>
        <w:ind w:left="0"/>
        <w:contextualSpacing w:val="0"/>
        <w:jc w:val="both"/>
        <w:rPr>
          <w:b/>
          <w:bCs/>
        </w:rPr>
      </w:pPr>
      <w:r>
        <w:rPr>
          <w:b/>
          <w:bCs/>
        </w:rPr>
        <w:t>22.7. Preposto</w:t>
      </w:r>
    </w:p>
    <w:p w14:paraId="348973D5">
      <w:pPr>
        <w:pStyle w:val="72"/>
        <w:suppressAutoHyphens/>
        <w:spacing w:before="240" w:after="240" w:line="360" w:lineRule="auto"/>
        <w:ind w:left="0"/>
        <w:contextualSpacing w:val="0"/>
        <w:jc w:val="both"/>
      </w:pPr>
      <w:r>
        <w:t>22.7.1. A CONTRATADA deverá designar formalmente um preposto antes do início da prestação dos serviços, com poderes e deveres claros relacionados à execução do objeto contratado.</w:t>
      </w:r>
    </w:p>
    <w:p w14:paraId="182D94EA">
      <w:pPr>
        <w:pStyle w:val="72"/>
        <w:suppressAutoHyphens/>
        <w:spacing w:before="240" w:after="240" w:line="360" w:lineRule="auto"/>
        <w:ind w:left="0"/>
        <w:contextualSpacing w:val="0"/>
        <w:jc w:val="both"/>
      </w:pPr>
      <w:r>
        <w:t>22.7.2. A CONTRATADA deverá manter um preposto aceito pela CONTRATANTE no local de execução, pelo período de até 18 (dezoito) meses, prorrogável por até 5 (cinco) anos, conforme art. 107 da Lei nº 14.133/2021.</w:t>
      </w:r>
    </w:p>
    <w:p w14:paraId="27B68304">
      <w:pPr>
        <w:pStyle w:val="72"/>
        <w:suppressAutoHyphens/>
        <w:spacing w:before="240" w:after="240" w:line="360" w:lineRule="auto"/>
        <w:ind w:left="0"/>
        <w:contextualSpacing w:val="0"/>
        <w:jc w:val="both"/>
      </w:pPr>
      <w:r>
        <w:t>22.7.3. A CONTRATANTE poderá recusar, desde que justificadamente, a indicação ou manutenção do preposto, exigindo que a CONTRATADA designe outro profissional em tempo hábil.</w:t>
      </w:r>
    </w:p>
    <w:p w14:paraId="1FCCF829">
      <w:pPr>
        <w:pStyle w:val="72"/>
        <w:suppressAutoHyphens/>
        <w:spacing w:before="240" w:after="240" w:line="360" w:lineRule="auto"/>
        <w:ind w:left="0"/>
        <w:contextualSpacing w:val="0"/>
        <w:jc w:val="both"/>
        <w:rPr>
          <w:b/>
          <w:bCs/>
        </w:rPr>
      </w:pPr>
      <w:r>
        <w:rPr>
          <w:b/>
          <w:bCs/>
        </w:rPr>
        <w:t>22.8. Fiscalização</w:t>
      </w:r>
    </w:p>
    <w:p w14:paraId="15591038">
      <w:pPr>
        <w:suppressAutoHyphens/>
        <w:spacing w:before="240" w:after="240" w:line="360" w:lineRule="auto"/>
        <w:jc w:val="both"/>
        <w:rPr>
          <w:b/>
          <w:bCs/>
        </w:rPr>
      </w:pPr>
      <w:r>
        <w:t>22.8.1. O fiscal técnico acompanhará a execução para assegurar cumprimento das condições contratuais, focando na qualidade e aderência técnica.</w:t>
      </w:r>
    </w:p>
    <w:p w14:paraId="14CFE739">
      <w:pPr>
        <w:pStyle w:val="72"/>
        <w:suppressAutoHyphens/>
        <w:spacing w:before="240" w:after="240" w:line="360" w:lineRule="auto"/>
        <w:ind w:left="0"/>
        <w:contextualSpacing w:val="0"/>
        <w:jc w:val="both"/>
        <w:rPr>
          <w:b/>
          <w:bCs/>
        </w:rPr>
      </w:pPr>
      <w:r>
        <w:t>22.8.2. O fiscal técnico deverá registrar todas as ocorrências no histórico de gerenciamento do Contrato, detalhando medidas para regularização de faltas ou defeitos.</w:t>
      </w:r>
    </w:p>
    <w:p w14:paraId="06E63600">
      <w:pPr>
        <w:pStyle w:val="72"/>
        <w:suppressAutoHyphens/>
        <w:spacing w:before="240" w:after="240" w:line="360" w:lineRule="auto"/>
        <w:ind w:left="0"/>
        <w:contextualSpacing w:val="0"/>
        <w:jc w:val="both"/>
        <w:rPr>
          <w:b/>
          <w:bCs/>
        </w:rPr>
      </w:pPr>
      <w:r>
        <w:t>22.8.3. Caso sejam constatadas irregularidades, o fiscal técnico emitirá notificações formais com prazos claros para correção.</w:t>
      </w:r>
    </w:p>
    <w:p w14:paraId="48B24BA2">
      <w:pPr>
        <w:pStyle w:val="72"/>
        <w:suppressAutoHyphens/>
        <w:spacing w:before="240" w:after="240" w:line="360" w:lineRule="auto"/>
        <w:ind w:left="0"/>
        <w:contextualSpacing w:val="0"/>
        <w:jc w:val="both"/>
        <w:rPr>
          <w:b/>
          <w:bCs/>
        </w:rPr>
      </w:pPr>
      <w:r>
        <w:t>22.8.4. O fiscal técnico informará ao gestor do Contrato situações que demandem decisões ou medidas além de sua competência.</w:t>
      </w:r>
    </w:p>
    <w:p w14:paraId="7B0C5114">
      <w:pPr>
        <w:pStyle w:val="72"/>
        <w:suppressAutoHyphens/>
        <w:spacing w:before="240" w:after="240" w:line="360" w:lineRule="auto"/>
        <w:ind w:left="0"/>
        <w:contextualSpacing w:val="0"/>
        <w:jc w:val="both"/>
        <w:rPr>
          <w:b/>
          <w:bCs/>
        </w:rPr>
      </w:pPr>
      <w:r>
        <w:t>22.8.5. Situações que inviabilizem prazos deverão ser comunicadas imediatamente ao gestor para decisões estratégicas.</w:t>
      </w:r>
    </w:p>
    <w:p w14:paraId="228F5431">
      <w:pPr>
        <w:pStyle w:val="72"/>
        <w:suppressAutoHyphens/>
        <w:spacing w:before="240" w:after="240" w:line="360" w:lineRule="auto"/>
        <w:ind w:left="0"/>
        <w:contextualSpacing w:val="0"/>
        <w:jc w:val="both"/>
        <w:rPr>
          <w:b/>
          <w:bCs/>
        </w:rPr>
      </w:pPr>
      <w:r>
        <w:t>22.8.6. O fiscal técnico comunicará o término do Contrato sob sua responsabilidade para providências quanto à renovação ou prorrogação.</w:t>
      </w:r>
    </w:p>
    <w:p w14:paraId="6F9DB33D">
      <w:pPr>
        <w:pStyle w:val="72"/>
        <w:numPr>
          <w:ilvl w:val="1"/>
          <w:numId w:val="24"/>
        </w:numPr>
        <w:suppressAutoHyphens/>
        <w:spacing w:before="240" w:after="240" w:line="360" w:lineRule="auto"/>
        <w:contextualSpacing w:val="0"/>
        <w:jc w:val="both"/>
        <w:rPr>
          <w:b/>
          <w:bCs/>
        </w:rPr>
      </w:pPr>
      <w:r>
        <w:rPr>
          <w:b/>
          <w:bCs/>
        </w:rPr>
        <w:t>Fiscal Administrativo</w:t>
      </w:r>
    </w:p>
    <w:p w14:paraId="0FF22A64">
      <w:pPr>
        <w:pStyle w:val="72"/>
        <w:suppressAutoHyphens/>
        <w:spacing w:before="240" w:after="240" w:line="360" w:lineRule="auto"/>
        <w:ind w:left="0"/>
        <w:contextualSpacing w:val="0"/>
        <w:jc w:val="both"/>
        <w:rPr>
          <w:b/>
          <w:bCs/>
        </w:rPr>
      </w:pPr>
      <w:r>
        <w:t>22.9.1. O fiscal administrativo verificará a manutenção das condições de habilitação, acompanhamento financeiro (empenho, pagamento, garantias, glosas), formalização de apostilamentos e termos aditivos, solicitando documentos comprobatórios para assegurar regularidade.</w:t>
      </w:r>
    </w:p>
    <w:p w14:paraId="58510249">
      <w:pPr>
        <w:pStyle w:val="72"/>
        <w:suppressAutoHyphens/>
        <w:spacing w:before="240" w:after="240" w:line="360" w:lineRule="auto"/>
        <w:ind w:left="0"/>
        <w:contextualSpacing w:val="0"/>
        <w:jc w:val="both"/>
        <w:rPr>
          <w:b/>
          <w:bCs/>
        </w:rPr>
      </w:pPr>
      <w:r>
        <w:t>22.9.2. Atuará tempestivamente diante de descumprimentos, informando o gestor para providências quando necessário.</w:t>
      </w:r>
    </w:p>
    <w:p w14:paraId="36D1A10F">
      <w:pPr>
        <w:pStyle w:val="72"/>
        <w:suppressAutoHyphens/>
        <w:spacing w:before="240" w:after="240" w:line="360" w:lineRule="auto"/>
        <w:ind w:left="0"/>
        <w:contextualSpacing w:val="0"/>
        <w:jc w:val="both"/>
        <w:rPr>
          <w:b/>
          <w:bCs/>
        </w:rPr>
      </w:pPr>
      <w:r>
        <w:t>22.9.3. Também comunicará o término do Contrato para providências de renovação ou prorrogação.</w:t>
      </w:r>
    </w:p>
    <w:p w14:paraId="231C7D90">
      <w:pPr>
        <w:pStyle w:val="72"/>
        <w:suppressAutoHyphens/>
        <w:spacing w:before="240" w:after="240" w:line="360" w:lineRule="auto"/>
        <w:ind w:left="0"/>
        <w:contextualSpacing w:val="0"/>
        <w:jc w:val="both"/>
        <w:rPr>
          <w:b/>
          <w:bCs/>
        </w:rPr>
      </w:pPr>
      <w:r>
        <w:rPr>
          <w:b/>
          <w:bCs/>
        </w:rPr>
        <w:t>22.10. Gestor do Contrato</w:t>
      </w:r>
    </w:p>
    <w:p w14:paraId="1709D13C">
      <w:pPr>
        <w:pStyle w:val="72"/>
        <w:suppressAutoHyphens/>
        <w:spacing w:before="240" w:after="240" w:line="360" w:lineRule="auto"/>
        <w:ind w:left="0"/>
        <w:contextualSpacing w:val="0"/>
        <w:jc w:val="both"/>
        <w:rPr>
          <w:b/>
          <w:bCs/>
        </w:rPr>
      </w:pPr>
      <w:r>
        <w:t>22.10.1. Coordenará a atualização do processo de acompanhamento e fiscalização, garantindo a documentação completa da execução (ordens de serviço, registros, alterações, prorrogações) no histórico do Contrato, e elaborará relatórios periódicos para adequações contratuais.</w:t>
      </w:r>
    </w:p>
    <w:p w14:paraId="6EACAF0E">
      <w:pPr>
        <w:pStyle w:val="72"/>
        <w:suppressAutoHyphens/>
        <w:spacing w:before="240" w:after="240" w:line="360" w:lineRule="auto"/>
        <w:ind w:left="0"/>
        <w:contextualSpacing w:val="0"/>
        <w:jc w:val="both"/>
        <w:rPr>
          <w:b/>
          <w:bCs/>
        </w:rPr>
      </w:pPr>
      <w:r>
        <w:t>22.10.2. Acompanhará os registros dos fiscais, informando autoridade superior sobre ocorrências fora de sua competência.</w:t>
      </w:r>
    </w:p>
    <w:p w14:paraId="71C49821">
      <w:pPr>
        <w:pStyle w:val="72"/>
        <w:suppressAutoHyphens/>
        <w:spacing w:before="240" w:after="240" w:line="360" w:lineRule="auto"/>
        <w:ind w:left="0"/>
        <w:contextualSpacing w:val="0"/>
        <w:jc w:val="both"/>
        <w:rPr>
          <w:b/>
          <w:bCs/>
        </w:rPr>
      </w:pPr>
      <w:r>
        <w:t>22.10.3. Acompanhará a manutenção das condições de habilitação para empenho e pagamento, registrando riscos financeiros.</w:t>
      </w:r>
    </w:p>
    <w:p w14:paraId="1E0D277F">
      <w:pPr>
        <w:pStyle w:val="72"/>
        <w:suppressAutoHyphens/>
        <w:spacing w:before="240" w:after="240" w:line="360" w:lineRule="auto"/>
        <w:ind w:left="0"/>
        <w:contextualSpacing w:val="0"/>
        <w:jc w:val="both"/>
        <w:rPr>
          <w:b/>
          <w:bCs/>
        </w:rPr>
      </w:pPr>
      <w:r>
        <w:t>22.10.4. Emitirá documento comprobatório da avaliação do cumprimento das obrigações pela CONTRATADA, com indicadores objetivos e menção a penalidades aplicadas, inserindo-o no cadastro de atesto.</w:t>
      </w:r>
    </w:p>
    <w:p w14:paraId="79B0F033">
      <w:pPr>
        <w:pStyle w:val="72"/>
        <w:suppressAutoHyphens/>
        <w:spacing w:before="240" w:after="240" w:line="360" w:lineRule="auto"/>
        <w:ind w:left="0"/>
        <w:contextualSpacing w:val="0"/>
        <w:jc w:val="both"/>
        <w:rPr>
          <w:b/>
          <w:bCs/>
        </w:rPr>
      </w:pPr>
      <w:r>
        <w:t>22.10.5. Providenciará a formalização de processo administrativo para aplicação de sanções, conforme art. 158 da Lei nº 14.133/2021.</w:t>
      </w:r>
    </w:p>
    <w:p w14:paraId="13FBD628">
      <w:pPr>
        <w:pStyle w:val="72"/>
        <w:suppressAutoHyphens/>
        <w:spacing w:before="240" w:after="240" w:line="360" w:lineRule="auto"/>
        <w:ind w:left="0"/>
        <w:contextualSpacing w:val="0"/>
        <w:jc w:val="both"/>
        <w:rPr>
          <w:b/>
          <w:bCs/>
        </w:rPr>
      </w:pPr>
      <w:r>
        <w:t>22.10.6. Elaborará relatório final com informações sobre a consecução dos objetivos da contratação e recomendações para futuras contratações.</w:t>
      </w:r>
    </w:p>
    <w:p w14:paraId="3F53794C">
      <w:pPr>
        <w:pStyle w:val="72"/>
        <w:suppressAutoHyphens/>
        <w:spacing w:before="240" w:after="240" w:line="360" w:lineRule="auto"/>
        <w:ind w:left="0"/>
        <w:contextualSpacing w:val="0"/>
        <w:jc w:val="both"/>
        <w:rPr>
          <w:rStyle w:val="101"/>
          <w:b/>
          <w:bCs/>
        </w:rPr>
      </w:pPr>
      <w:r>
        <w:t>22.10.7. Encaminhará documentação ao setor de contabilidade para liquidação e pagamento conforme condições aprovadas.</w:t>
      </w:r>
    </w:p>
    <w:p w14:paraId="00613E5E">
      <w:pPr>
        <w:pStyle w:val="72"/>
        <w:numPr>
          <w:ilvl w:val="1"/>
          <w:numId w:val="25"/>
        </w:numPr>
        <w:spacing w:before="240" w:after="240" w:line="360" w:lineRule="auto"/>
        <w:jc w:val="both"/>
        <w:rPr>
          <w:rStyle w:val="101"/>
          <w:b/>
          <w:bCs/>
        </w:rPr>
      </w:pPr>
      <w:r>
        <w:rPr>
          <w:rStyle w:val="101"/>
          <w:b/>
          <w:bCs/>
        </w:rPr>
        <w:t xml:space="preserve">DO PAGAMENTO </w:t>
      </w:r>
    </w:p>
    <w:p w14:paraId="1C46380A">
      <w:pPr>
        <w:pStyle w:val="72"/>
        <w:spacing w:before="240" w:after="240" w:line="360" w:lineRule="auto"/>
        <w:jc w:val="both"/>
        <w:rPr>
          <w:rStyle w:val="101"/>
          <w:b/>
          <w:bCs/>
        </w:rPr>
      </w:pPr>
    </w:p>
    <w:p w14:paraId="2DA242E3">
      <w:pPr>
        <w:pStyle w:val="72"/>
        <w:numPr>
          <w:ilvl w:val="1"/>
          <w:numId w:val="25"/>
        </w:numPr>
        <w:spacing w:before="240" w:after="240" w:line="360" w:lineRule="auto"/>
        <w:ind w:left="0" w:firstLine="0"/>
        <w:contextualSpacing w:val="0"/>
        <w:jc w:val="both"/>
      </w:pPr>
      <w:r>
        <w:t>As condições e procedimentos para o pagamento dos serviços prestados estão detalhados a seguir, abrangendo a liquidação da despesa, os prazos e a forma de pagamento, bem como as retenções tributárias aplicáveis.</w:t>
      </w:r>
    </w:p>
    <w:p w14:paraId="44ECD4C9">
      <w:pPr>
        <w:pStyle w:val="72"/>
        <w:numPr>
          <w:ilvl w:val="1"/>
          <w:numId w:val="25"/>
        </w:numPr>
        <w:spacing w:before="240" w:after="240" w:line="360" w:lineRule="auto"/>
        <w:ind w:left="0" w:firstLine="0"/>
        <w:contextualSpacing w:val="0"/>
        <w:jc w:val="both"/>
        <w:rPr>
          <w:b/>
          <w:bCs/>
        </w:rPr>
      </w:pPr>
      <w:r>
        <w:rPr>
          <w:b/>
          <w:bCs/>
        </w:rPr>
        <w:t>Liquidação</w:t>
      </w:r>
    </w:p>
    <w:p w14:paraId="4CABEE79">
      <w:pPr>
        <w:pStyle w:val="72"/>
        <w:numPr>
          <w:ilvl w:val="2"/>
          <w:numId w:val="25"/>
        </w:numPr>
        <w:spacing w:before="240" w:after="240" w:line="360" w:lineRule="auto"/>
        <w:ind w:left="0" w:firstLine="0"/>
        <w:contextualSpacing w:val="0"/>
        <w:jc w:val="both"/>
      </w:pPr>
      <w:r>
        <w:t>Para fins de liquidação, o setor competente da CONTRATANTE deverá verificar se a nota fiscal ou instrumento de cobrança equivalente apresentado pela CONTRATADA expressa todos os elementos necessários e essenciais do documento, tais como:</w:t>
      </w:r>
    </w:p>
    <w:p w14:paraId="7AE86E6C">
      <w:pPr>
        <w:pStyle w:val="72"/>
        <w:numPr>
          <w:ilvl w:val="0"/>
          <w:numId w:val="26"/>
        </w:numPr>
        <w:spacing w:before="240" w:after="240" w:line="360" w:lineRule="auto"/>
        <w:contextualSpacing w:val="0"/>
        <w:jc w:val="both"/>
        <w:rPr>
          <w:rStyle w:val="101"/>
        </w:rPr>
      </w:pPr>
      <w:r>
        <w:rPr>
          <w:rStyle w:val="101"/>
        </w:rPr>
        <w:t>O prazo de validade da Nota Fiscal;</w:t>
      </w:r>
    </w:p>
    <w:p w14:paraId="41E1169A">
      <w:pPr>
        <w:pStyle w:val="72"/>
        <w:numPr>
          <w:ilvl w:val="0"/>
          <w:numId w:val="26"/>
        </w:numPr>
        <w:spacing w:before="240" w:after="240" w:line="360" w:lineRule="auto"/>
        <w:contextualSpacing w:val="0"/>
        <w:jc w:val="both"/>
        <w:rPr>
          <w:rStyle w:val="101"/>
        </w:rPr>
      </w:pPr>
      <w:r>
        <w:rPr>
          <w:rStyle w:val="101"/>
        </w:rPr>
        <w:t>A data da emissão do documento;</w:t>
      </w:r>
    </w:p>
    <w:p w14:paraId="732CE50A">
      <w:pPr>
        <w:pStyle w:val="72"/>
        <w:numPr>
          <w:ilvl w:val="0"/>
          <w:numId w:val="26"/>
        </w:numPr>
        <w:spacing w:before="240" w:after="240" w:line="360" w:lineRule="auto"/>
        <w:contextualSpacing w:val="0"/>
        <w:jc w:val="both"/>
        <w:rPr>
          <w:rStyle w:val="101"/>
        </w:rPr>
      </w:pPr>
      <w:r>
        <w:rPr>
          <w:rStyle w:val="101"/>
        </w:rPr>
        <w:t>Os dados completos do contrato e do órgão contratante;</w:t>
      </w:r>
    </w:p>
    <w:p w14:paraId="1C5B9B55">
      <w:pPr>
        <w:pStyle w:val="72"/>
        <w:numPr>
          <w:ilvl w:val="0"/>
          <w:numId w:val="26"/>
        </w:numPr>
        <w:spacing w:before="240" w:after="240" w:line="360" w:lineRule="auto"/>
        <w:contextualSpacing w:val="0"/>
        <w:jc w:val="both"/>
        <w:rPr>
          <w:rStyle w:val="101"/>
        </w:rPr>
      </w:pPr>
      <w:r>
        <w:rPr>
          <w:rStyle w:val="101"/>
        </w:rPr>
        <w:t>O período respectivo de execução do contrato ao qual o pagamento se refere;</w:t>
      </w:r>
    </w:p>
    <w:p w14:paraId="0162D889">
      <w:pPr>
        <w:pStyle w:val="72"/>
        <w:numPr>
          <w:ilvl w:val="0"/>
          <w:numId w:val="26"/>
        </w:numPr>
        <w:spacing w:before="240" w:after="240" w:line="360" w:lineRule="auto"/>
        <w:contextualSpacing w:val="0"/>
        <w:jc w:val="both"/>
        <w:rPr>
          <w:rStyle w:val="101"/>
        </w:rPr>
      </w:pPr>
      <w:r>
        <w:rPr>
          <w:rStyle w:val="101"/>
        </w:rPr>
        <w:t>O valor Exato a pagar;</w:t>
      </w:r>
    </w:p>
    <w:p w14:paraId="4819AC47">
      <w:pPr>
        <w:pStyle w:val="72"/>
        <w:numPr>
          <w:ilvl w:val="0"/>
          <w:numId w:val="26"/>
        </w:numPr>
        <w:spacing w:before="240" w:after="240" w:line="360" w:lineRule="auto"/>
        <w:contextualSpacing w:val="0"/>
        <w:jc w:val="both"/>
        <w:rPr>
          <w:rStyle w:val="101"/>
        </w:rPr>
      </w:pPr>
      <w:r>
        <w:rPr>
          <w:rStyle w:val="101"/>
        </w:rPr>
        <w:t>Eventual destaque do valor de retenções tributárias cabíveis, conforme a legislação vigente.</w:t>
      </w:r>
    </w:p>
    <w:p w14:paraId="1BF2F597">
      <w:pPr>
        <w:pStyle w:val="72"/>
        <w:numPr>
          <w:ilvl w:val="2"/>
          <w:numId w:val="25"/>
        </w:numPr>
        <w:spacing w:before="240" w:after="240" w:line="360" w:lineRule="auto"/>
        <w:ind w:left="0" w:firstLine="0"/>
        <w:contextualSpacing w:val="0"/>
        <w:jc w:val="both"/>
      </w:pPr>
      <w:r>
        <w:t>Havendo erro na apresentação da nota fiscal ou instrumento de cobrança equivalente, ou qualquer circunstância que impeça a liquidação da despesa, esta ficará sobrestada. A CONTRATADA deverá providenciar as medidas saneadoras, reiniciando-se o prazo para liquidação após a comprovação da regularização da situação, sem que haja ônus adicionais ao contratante.</w:t>
      </w:r>
    </w:p>
    <w:p w14:paraId="52C45FF8">
      <w:pPr>
        <w:pStyle w:val="72"/>
        <w:numPr>
          <w:ilvl w:val="2"/>
          <w:numId w:val="25"/>
        </w:numPr>
        <w:spacing w:before="240" w:after="240" w:line="360" w:lineRule="auto"/>
        <w:ind w:left="0" w:firstLine="0"/>
        <w:contextualSpacing w:val="0"/>
        <w:jc w:val="both"/>
      </w:pPr>
      <w:r>
        <w:t>A nota fiscal ou instrumento de cobrança equivalente deverá ser obrigatoriamente acompanhado da comprovação da regularidade fiscal, social e trabalhista da CONTRATADA, constatada por meio da documentação prevista no art. 68 da Lei nº 14.133/2021.</w:t>
      </w:r>
    </w:p>
    <w:p w14:paraId="52A29D30">
      <w:pPr>
        <w:pStyle w:val="72"/>
        <w:numPr>
          <w:ilvl w:val="2"/>
          <w:numId w:val="25"/>
        </w:numPr>
        <w:spacing w:before="240" w:after="240" w:line="360" w:lineRule="auto"/>
        <w:ind w:left="0" w:firstLine="0"/>
        <w:contextualSpacing w:val="0"/>
        <w:jc w:val="both"/>
      </w:pPr>
      <w:r>
        <w:t>A nota fiscal ou instrumento de cobrança equivalente deverá ser obrigatoriamente acompanhado da comprovação da regularidade fiscal, social e trabalhista da CONTRATADA, constatada por meio da documentação prevista no art. 68 da Lei nº 14.133/2021.</w:t>
      </w:r>
    </w:p>
    <w:p w14:paraId="43750A16">
      <w:pPr>
        <w:pStyle w:val="72"/>
        <w:numPr>
          <w:ilvl w:val="2"/>
          <w:numId w:val="25"/>
        </w:numPr>
        <w:spacing w:before="240" w:after="240" w:line="360" w:lineRule="auto"/>
        <w:ind w:left="0" w:firstLine="0"/>
        <w:contextualSpacing w:val="0"/>
        <w:jc w:val="both"/>
      </w:pPr>
      <w:r>
        <w:t>Constatando-se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 mediante justificativa.</w:t>
      </w:r>
    </w:p>
    <w:p w14:paraId="7C10CB0D">
      <w:pPr>
        <w:pStyle w:val="72"/>
        <w:numPr>
          <w:ilvl w:val="2"/>
          <w:numId w:val="25"/>
        </w:numPr>
        <w:spacing w:before="240" w:after="240" w:line="360" w:lineRule="auto"/>
        <w:ind w:left="0" w:firstLine="0"/>
        <w:contextualSpacing w:val="0"/>
        <w:jc w:val="both"/>
      </w:pPr>
      <w:r>
        <w:t>Não havendo regularização da situação de irregularidade ou sendo a defesa apresentada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2B4AA27E">
      <w:pPr>
        <w:pStyle w:val="72"/>
        <w:numPr>
          <w:ilvl w:val="2"/>
          <w:numId w:val="25"/>
        </w:numPr>
        <w:spacing w:before="240" w:after="240" w:line="360" w:lineRule="auto"/>
        <w:ind w:left="0" w:firstLine="0"/>
        <w:contextualSpacing w:val="0"/>
        <w:jc w:val="both"/>
      </w:pPr>
      <w:r>
        <w:t>Persistindo a irregularidade, o contratante deverá adotar as medidas necessárias à rescisão contratual nos autos do processo administrativo correspondente, assegurada ao contratado a ampla defesa, conforme os princípios do contraditório e da ampla defesa.</w:t>
      </w:r>
    </w:p>
    <w:p w14:paraId="69487D7C">
      <w:pPr>
        <w:pStyle w:val="72"/>
        <w:numPr>
          <w:ilvl w:val="2"/>
          <w:numId w:val="25"/>
        </w:numPr>
        <w:spacing w:before="240" w:after="240" w:line="360" w:lineRule="auto"/>
        <w:ind w:left="0" w:firstLine="0"/>
        <w:contextualSpacing w:val="0"/>
        <w:jc w:val="both"/>
      </w:pPr>
      <w:r>
        <w:t xml:space="preserve">O prazo para liquidação da despesa, uma vez que toda a documentação esteja correta e as condições satisfeitas, é </w:t>
      </w:r>
      <w:r>
        <w:rPr>
          <w:b/>
          <w:bCs/>
        </w:rPr>
        <w:t>de 15 (QUINZE) dias corridos</w:t>
      </w:r>
      <w:r>
        <w:t>.</w:t>
      </w:r>
    </w:p>
    <w:p w14:paraId="1D02E35A">
      <w:pPr>
        <w:pStyle w:val="72"/>
        <w:numPr>
          <w:ilvl w:val="2"/>
          <w:numId w:val="25"/>
        </w:numPr>
        <w:spacing w:before="240" w:after="240" w:line="360" w:lineRule="auto"/>
        <w:ind w:left="0" w:firstLine="0"/>
        <w:contextualSpacing w:val="0"/>
        <w:jc w:val="both"/>
      </w:pPr>
      <w:r>
        <w:t>Havendo a efetiva execução do objeto, os pagamentos serão realizados normalmente, mesmo que haja irregularidade pendente, até que se decida formalmente pela rescisão do contrato, caso o contratado não regularize sua situação no prazo estabelecido.</w:t>
      </w:r>
    </w:p>
    <w:p w14:paraId="12D8BD5A">
      <w:pPr>
        <w:pStyle w:val="72"/>
        <w:numPr>
          <w:ilvl w:val="1"/>
          <w:numId w:val="25"/>
        </w:numPr>
        <w:spacing w:before="240" w:after="240" w:line="360" w:lineRule="auto"/>
        <w:ind w:left="0" w:firstLine="0"/>
        <w:contextualSpacing w:val="0"/>
        <w:jc w:val="both"/>
        <w:rPr>
          <w:b/>
          <w:bCs/>
        </w:rPr>
      </w:pPr>
      <w:r>
        <w:rPr>
          <w:b/>
          <w:bCs/>
        </w:rPr>
        <w:t>Prazo de Pagamento</w:t>
      </w:r>
    </w:p>
    <w:p w14:paraId="1FE4EE61">
      <w:pPr>
        <w:pStyle w:val="72"/>
        <w:numPr>
          <w:ilvl w:val="2"/>
          <w:numId w:val="25"/>
        </w:numPr>
        <w:spacing w:before="240" w:after="240" w:line="360" w:lineRule="auto"/>
        <w:ind w:left="0" w:firstLine="0"/>
        <w:contextualSpacing w:val="0"/>
        <w:jc w:val="both"/>
        <w:rPr>
          <w:b/>
          <w:bCs/>
        </w:rPr>
      </w:pPr>
      <w:r>
        <w:t>A CONTRATANTE efetuará o pagamento à CONTRATADA pelos serviços prestados no prazo de até 30 (trinta) dias consecutivos. Este prazo será contado a partir da data de apresentação da Nota Fiscal/Fatura correspondente, desde que os serviços tenham sido devidamente executados, recebidos e aceitos pela CONTRATANTE, em conformidade com os termos deste Termo de Referência e do Contrato.</w:t>
      </w:r>
    </w:p>
    <w:p w14:paraId="2C99BA0F">
      <w:pPr>
        <w:pStyle w:val="72"/>
        <w:numPr>
          <w:ilvl w:val="2"/>
          <w:numId w:val="25"/>
        </w:numPr>
        <w:spacing w:before="240" w:after="240" w:line="360" w:lineRule="auto"/>
        <w:ind w:left="0" w:firstLine="0"/>
        <w:contextualSpacing w:val="0"/>
        <w:jc w:val="both"/>
      </w:pPr>
      <w:r>
        <w:t>Para que o pagamento seja realizado, a CONTRATADA deverá comprovar sua regularidade fiscal, mediante a apresentação de todos os documentos exigidos para habilitação no certame licitatório, conforme especificado neste Termo de Referência e na legislação aplicável.</w:t>
      </w:r>
    </w:p>
    <w:p w14:paraId="20839B7B">
      <w:pPr>
        <w:pStyle w:val="72"/>
        <w:numPr>
          <w:ilvl w:val="2"/>
          <w:numId w:val="25"/>
        </w:numPr>
        <w:spacing w:before="240" w:after="240" w:line="360" w:lineRule="auto"/>
        <w:ind w:left="0" w:firstLine="0"/>
        <w:contextualSpacing w:val="0"/>
        <w:jc w:val="both"/>
      </w:pPr>
      <w:r>
        <w:t>Caso sejam identificados erros ou inconsistências na documentação fiscal apresentada pela CONTRATADA, a CONTRATANTE solicitará a imediata correção. O prazo para pagamento será suspenso a partir da data da notificação e somente começará a contar novamente a partir da data em que a documentação for devidamente regularizada e reapresentada.</w:t>
      </w:r>
    </w:p>
    <w:p w14:paraId="73F082D7">
      <w:pPr>
        <w:pStyle w:val="72"/>
        <w:numPr>
          <w:ilvl w:val="2"/>
          <w:numId w:val="25"/>
        </w:numPr>
        <w:spacing w:before="240" w:after="240" w:line="360" w:lineRule="auto"/>
        <w:ind w:left="0" w:firstLine="0"/>
        <w:contextualSpacing w:val="0"/>
        <w:jc w:val="both"/>
      </w:pPr>
      <w:r>
        <w:t>A CONTRATANTE reserva-se o direito de deduzir do valor a ser pago à CONTRATADA quaisquer importâncias que lhe sejam devidas por esta, a qualquer título, em decorrência de descumprimento de obrigações contratuais. Isso inclui, mas não se limita a, multas, penalidades ou indenizações.</w:t>
      </w:r>
    </w:p>
    <w:p w14:paraId="6CD8650B">
      <w:pPr>
        <w:pStyle w:val="72"/>
        <w:numPr>
          <w:ilvl w:val="2"/>
          <w:numId w:val="25"/>
        </w:numPr>
        <w:spacing w:before="240" w:after="240" w:line="360" w:lineRule="auto"/>
        <w:ind w:left="0" w:firstLine="0"/>
        <w:contextualSpacing w:val="0"/>
        <w:jc w:val="both"/>
      </w:pPr>
      <w:r>
        <w:t>Em caso de controvérsia sobre a execução do objeto contratual, especialmente em relação à sua dimensão, qualidade ou quantidade, será observado o disposto no art. 143 da Lei nº 14.133/2021. A CONTRATANTE comunicará a CONTRATADA para que esta emita Nota Fiscal referente à parcela incontroversa da execução do objeto, que será objeto de liquidação e pagamento de forma prioritária.</w:t>
      </w:r>
    </w:p>
    <w:p w14:paraId="44A94969">
      <w:pPr>
        <w:pStyle w:val="72"/>
        <w:numPr>
          <w:ilvl w:val="2"/>
          <w:numId w:val="25"/>
        </w:numPr>
        <w:spacing w:before="240" w:after="240" w:line="360" w:lineRule="auto"/>
        <w:ind w:left="0" w:firstLine="0"/>
        <w:contextualSpacing w:val="0"/>
        <w:jc w:val="both"/>
      </w:pPr>
      <w:r>
        <w:t>O prazo para que a CONTRATADA corrija inconsistências na execução do objeto ou saneie a Nota Fiscal ou documento de cobrança equivalente, verificadas pela CONTRATANTE durante a análise prévia à liquidação da despesa, não será computado para fins de recebimento definitivo dos serviços.</w:t>
      </w:r>
    </w:p>
    <w:p w14:paraId="2D722912">
      <w:pPr>
        <w:pStyle w:val="72"/>
        <w:numPr>
          <w:ilvl w:val="1"/>
          <w:numId w:val="25"/>
        </w:numPr>
        <w:spacing w:before="240" w:after="240" w:line="360" w:lineRule="auto"/>
        <w:ind w:left="0" w:firstLine="0"/>
        <w:contextualSpacing w:val="0"/>
        <w:jc w:val="both"/>
        <w:rPr>
          <w:b/>
          <w:bCs/>
        </w:rPr>
      </w:pPr>
      <w:r>
        <w:rPr>
          <w:b/>
          <w:bCs/>
        </w:rPr>
        <w:t>Forma de Pagamento</w:t>
      </w:r>
    </w:p>
    <w:p w14:paraId="0F9E6EE9">
      <w:pPr>
        <w:pStyle w:val="72"/>
        <w:numPr>
          <w:ilvl w:val="2"/>
          <w:numId w:val="25"/>
        </w:numPr>
        <w:spacing w:before="240" w:after="240" w:line="360" w:lineRule="auto"/>
        <w:ind w:left="0" w:firstLine="0"/>
        <w:contextualSpacing w:val="0"/>
        <w:jc w:val="both"/>
        <w:rPr>
          <w:b/>
          <w:bCs/>
        </w:rPr>
      </w:pPr>
      <w:r>
        <w:t>O pagamento será realizado por meio de ordem bancária, para crédito em banco, agência e conta corrente indicados pela CONTRATADA, garantindo a rastreabilidade e segurança da transação.</w:t>
      </w:r>
    </w:p>
    <w:p w14:paraId="4C118C2D">
      <w:pPr>
        <w:pStyle w:val="72"/>
        <w:numPr>
          <w:ilvl w:val="2"/>
          <w:numId w:val="25"/>
        </w:numPr>
        <w:spacing w:before="240" w:after="240" w:line="360" w:lineRule="auto"/>
        <w:ind w:left="0" w:firstLine="0"/>
        <w:contextualSpacing w:val="0"/>
        <w:jc w:val="both"/>
      </w:pPr>
      <w:r>
        <w:t>Será considerada data do pagamento o dia em que constar como emitida a ordem bancária para pagamento, independentemente da data de crédito efetivo na conta da CONTRATADA.</w:t>
      </w:r>
    </w:p>
    <w:p w14:paraId="583B88A4">
      <w:pPr>
        <w:pStyle w:val="72"/>
        <w:numPr>
          <w:ilvl w:val="2"/>
          <w:numId w:val="25"/>
        </w:numPr>
        <w:spacing w:before="240" w:after="240" w:line="360" w:lineRule="auto"/>
        <w:ind w:left="0" w:firstLine="0"/>
        <w:contextualSpacing w:val="0"/>
        <w:jc w:val="both"/>
      </w:pPr>
      <w:r>
        <w:t>Quando do pagamento, será efetuada a retenção tributária prevista na legislação aplicável, conforme as alíquotas e condições estabelecidas pelas normas fiscais vigentes.</w:t>
      </w:r>
    </w:p>
    <w:p w14:paraId="7EF5E3CD">
      <w:pPr>
        <w:pStyle w:val="72"/>
        <w:numPr>
          <w:ilvl w:val="2"/>
          <w:numId w:val="25"/>
        </w:numPr>
        <w:spacing w:before="240" w:after="240" w:line="360" w:lineRule="auto"/>
        <w:ind w:left="0" w:firstLine="0"/>
        <w:contextualSpacing w:val="0"/>
        <w:jc w:val="both"/>
      </w:pPr>
      <w:r>
        <w:t>Independentemente do percentual de tributo inserido na planilha de custos da CONTRATADA, quando houver, serão retidos na fonte, quando da realização do pagamento, os percentuais efetivamente estabelecidos na legislação vigente no momento do pagamento.</w:t>
      </w:r>
    </w:p>
    <w:p w14:paraId="3A3122B7">
      <w:pPr>
        <w:pStyle w:val="72"/>
        <w:numPr>
          <w:ilvl w:val="2"/>
          <w:numId w:val="25"/>
        </w:numPr>
        <w:spacing w:before="240" w:after="240" w:line="360" w:lineRule="auto"/>
        <w:ind w:left="0" w:firstLine="0"/>
        <w:contextualSpacing w:val="0"/>
        <w:jc w:val="both"/>
        <w:rPr>
          <w:rStyle w:val="101"/>
        </w:rPr>
      </w:pPr>
      <w:r>
        <w:t>A CONTRATADA regularmente optante pelo Simples Nacional, nos termos da Lei Complementar nº 123/2006,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0A0D880C">
      <w:pPr>
        <w:pStyle w:val="72"/>
        <w:numPr>
          <w:ilvl w:val="0"/>
          <w:numId w:val="25"/>
        </w:numPr>
        <w:spacing w:after="160" w:line="360" w:lineRule="auto"/>
        <w:ind w:left="0" w:firstLine="0"/>
        <w:jc w:val="both"/>
        <w:outlineLvl w:val="1"/>
        <w:rPr>
          <w:rStyle w:val="101"/>
          <w:b/>
          <w:bCs/>
          <w:sz w:val="24"/>
          <w:szCs w:val="24"/>
        </w:rPr>
      </w:pPr>
      <w:r>
        <w:rPr>
          <w:rStyle w:val="101"/>
          <w:b/>
          <w:bCs/>
          <w:sz w:val="24"/>
          <w:szCs w:val="24"/>
        </w:rPr>
        <w:t xml:space="preserve">FORMA E CRITÉRIOS DE SELEÇÃO DO FORNECEDOR E REGIME DE EXECUÇÃO </w:t>
      </w:r>
    </w:p>
    <w:p w14:paraId="4428E55D">
      <w:pPr>
        <w:pStyle w:val="72"/>
        <w:numPr>
          <w:ilvl w:val="1"/>
          <w:numId w:val="25"/>
        </w:numPr>
        <w:spacing w:before="240" w:after="240" w:line="360" w:lineRule="auto"/>
        <w:ind w:left="0" w:firstLine="0"/>
        <w:contextualSpacing w:val="0"/>
        <w:jc w:val="both"/>
      </w:pPr>
      <w:r>
        <w:t>Este tópico detalha o processo de seleção do fornecedor, os critérios de julgamento das propostas e as exigências para habilitação jurídica, fiscal, social, trabalhista, econômico-financeira e técnica.</w:t>
      </w:r>
    </w:p>
    <w:p w14:paraId="6FF3F2AE">
      <w:pPr>
        <w:pStyle w:val="72"/>
        <w:numPr>
          <w:ilvl w:val="1"/>
          <w:numId w:val="25"/>
        </w:numPr>
        <w:spacing w:before="240" w:after="240" w:line="360" w:lineRule="auto"/>
        <w:ind w:left="0" w:firstLine="0"/>
        <w:contextualSpacing w:val="0"/>
        <w:jc w:val="both"/>
        <w:rPr>
          <w:b/>
          <w:bCs/>
        </w:rPr>
      </w:pPr>
      <w:r>
        <w:rPr>
          <w:b/>
          <w:bCs/>
        </w:rPr>
        <w:t xml:space="preserve">Forma de Seleção e Critério de Julgamento da Proposta </w:t>
      </w:r>
    </w:p>
    <w:p w14:paraId="7CB1EB81">
      <w:pPr>
        <w:pStyle w:val="72"/>
        <w:numPr>
          <w:ilvl w:val="2"/>
          <w:numId w:val="25"/>
        </w:numPr>
        <w:spacing w:before="240" w:after="240" w:line="360" w:lineRule="auto"/>
        <w:ind w:left="0" w:firstLine="0"/>
        <w:contextualSpacing w:val="0"/>
        <w:jc w:val="both"/>
      </w:pPr>
      <w:r>
        <w:t xml:space="preserve">O fornecimento será selecionado por meio da realização de procedimento de </w:t>
      </w:r>
      <w:r>
        <w:rPr>
          <w:b/>
          <w:bCs/>
        </w:rPr>
        <w:t>LICITAÇÃO</w:t>
      </w:r>
      <w:r>
        <w:t xml:space="preserve">, na modalidade </w:t>
      </w:r>
      <w:r>
        <w:rPr>
          <w:b/>
          <w:bCs/>
        </w:rPr>
        <w:t>PREGÃO,</w:t>
      </w:r>
      <w:r>
        <w:t xml:space="preserve"> sob a forma </w:t>
      </w:r>
      <w:r>
        <w:rPr>
          <w:b/>
          <w:bCs/>
        </w:rPr>
        <w:t>ELETRÔNICA</w:t>
      </w:r>
      <w:r>
        <w:t xml:space="preserve">, com adoção do critério de julgamento pelo </w:t>
      </w:r>
      <w:r>
        <w:rPr>
          <w:b/>
          <w:bCs/>
        </w:rPr>
        <w:t>MENOR PREÇO</w:t>
      </w:r>
      <w:r>
        <w:t>, visando a obtenção da proposta mais vantajosa para a Administração Pública.</w:t>
      </w:r>
    </w:p>
    <w:p w14:paraId="50A49C16">
      <w:pPr>
        <w:pStyle w:val="72"/>
        <w:numPr>
          <w:ilvl w:val="1"/>
          <w:numId w:val="25"/>
        </w:numPr>
        <w:spacing w:before="240" w:after="240" w:line="360" w:lineRule="auto"/>
        <w:ind w:left="0" w:firstLine="0"/>
        <w:contextualSpacing w:val="0"/>
        <w:jc w:val="both"/>
        <w:rPr>
          <w:b/>
          <w:bCs/>
        </w:rPr>
      </w:pPr>
      <w:r>
        <w:rPr>
          <w:b/>
          <w:bCs/>
        </w:rPr>
        <w:t xml:space="preserve">Forma de Fornecimento </w:t>
      </w:r>
    </w:p>
    <w:p w14:paraId="5604EB4E">
      <w:pPr>
        <w:pStyle w:val="72"/>
        <w:numPr>
          <w:ilvl w:val="2"/>
          <w:numId w:val="25"/>
        </w:numPr>
        <w:spacing w:before="240" w:after="240" w:line="360" w:lineRule="auto"/>
        <w:ind w:left="0" w:firstLine="0"/>
        <w:contextualSpacing w:val="0"/>
        <w:jc w:val="both"/>
      </w:pPr>
      <w:r>
        <w:t>O fornecimento do objeto não será parcelado, conforme justificativa detalhada no tópico específico do Estudo Técnico Preliminar (ETP) anexo a este Termo de Referência, garantindo a integralidade da contratação.</w:t>
      </w:r>
    </w:p>
    <w:p w14:paraId="15C3FE15">
      <w:pPr>
        <w:pStyle w:val="72"/>
        <w:numPr>
          <w:ilvl w:val="1"/>
          <w:numId w:val="25"/>
        </w:numPr>
        <w:spacing w:before="240" w:after="240" w:line="360" w:lineRule="auto"/>
        <w:ind w:left="0" w:firstLine="0"/>
        <w:contextualSpacing w:val="0"/>
        <w:jc w:val="both"/>
        <w:rPr>
          <w:rStyle w:val="101"/>
          <w:b/>
          <w:bCs/>
        </w:rPr>
      </w:pPr>
      <w:r>
        <w:rPr>
          <w:rStyle w:val="101"/>
          <w:b/>
          <w:bCs/>
        </w:rPr>
        <w:t>Exigência de Habilitação</w:t>
      </w:r>
    </w:p>
    <w:p w14:paraId="1AF730F1">
      <w:pPr>
        <w:pStyle w:val="72"/>
        <w:numPr>
          <w:ilvl w:val="2"/>
          <w:numId w:val="25"/>
        </w:numPr>
        <w:spacing w:before="240" w:after="240" w:line="360" w:lineRule="auto"/>
        <w:ind w:left="0" w:firstLine="0"/>
        <w:contextualSpacing w:val="0"/>
        <w:jc w:val="both"/>
        <w:rPr>
          <w:rStyle w:val="101"/>
          <w:b/>
          <w:bCs/>
        </w:rPr>
      </w:pPr>
      <w:r>
        <w:rPr>
          <w:rStyle w:val="101"/>
          <w:b/>
          <w:bCs/>
        </w:rPr>
        <w:t xml:space="preserve">Requisitos para Habilitação </w:t>
      </w:r>
    </w:p>
    <w:p w14:paraId="181D41B4">
      <w:pPr>
        <w:pStyle w:val="72"/>
        <w:numPr>
          <w:ilvl w:val="3"/>
          <w:numId w:val="25"/>
        </w:numPr>
        <w:spacing w:before="240" w:after="240" w:line="360" w:lineRule="auto"/>
        <w:ind w:left="0" w:firstLine="0"/>
        <w:contextualSpacing w:val="0"/>
        <w:jc w:val="both"/>
      </w:pPr>
      <w:r>
        <w:t>Para fins de habilitação no certame, o licitante deverá comprovar os seguintes requisitos, além dos demais que constam no Edital:</w:t>
      </w:r>
    </w:p>
    <w:p w14:paraId="356E5A0D">
      <w:pPr>
        <w:numPr>
          <w:ilvl w:val="0"/>
          <w:numId w:val="27"/>
        </w:numPr>
        <w:spacing w:before="240" w:after="240" w:line="360" w:lineRule="auto"/>
        <w:jc w:val="both"/>
      </w:pPr>
      <w:r>
        <w:t>Habilitação jurídica;</w:t>
      </w:r>
    </w:p>
    <w:p w14:paraId="65817F62">
      <w:pPr>
        <w:numPr>
          <w:ilvl w:val="0"/>
          <w:numId w:val="27"/>
        </w:numPr>
        <w:spacing w:before="240" w:after="240" w:line="360" w:lineRule="auto"/>
        <w:jc w:val="both"/>
      </w:pPr>
      <w:r>
        <w:t>Regularidade fiscal e trabalhista;</w:t>
      </w:r>
    </w:p>
    <w:p w14:paraId="3400CA90">
      <w:pPr>
        <w:numPr>
          <w:ilvl w:val="0"/>
          <w:numId w:val="27"/>
        </w:numPr>
        <w:spacing w:before="240" w:after="240" w:line="360" w:lineRule="auto"/>
        <w:jc w:val="both"/>
      </w:pPr>
      <w:r>
        <w:t>Critérios de qualificação econômico-financeira;</w:t>
      </w:r>
    </w:p>
    <w:p w14:paraId="1D67C8BC">
      <w:pPr>
        <w:numPr>
          <w:ilvl w:val="0"/>
          <w:numId w:val="27"/>
        </w:numPr>
        <w:spacing w:before="240" w:after="240" w:line="360" w:lineRule="auto"/>
        <w:jc w:val="both"/>
      </w:pPr>
      <w:r>
        <w:t>Critérios de qualificação técnica.</w:t>
      </w:r>
    </w:p>
    <w:p w14:paraId="318CA6A5">
      <w:pPr>
        <w:pStyle w:val="72"/>
        <w:numPr>
          <w:ilvl w:val="1"/>
          <w:numId w:val="25"/>
        </w:numPr>
        <w:spacing w:before="240" w:after="240" w:line="360" w:lineRule="auto"/>
        <w:ind w:left="0" w:firstLine="0"/>
        <w:contextualSpacing w:val="0"/>
        <w:jc w:val="both"/>
        <w:rPr>
          <w:rStyle w:val="101"/>
          <w:b/>
          <w:bCs/>
        </w:rPr>
      </w:pPr>
      <w:r>
        <w:rPr>
          <w:rStyle w:val="101"/>
          <w:b/>
          <w:bCs/>
        </w:rPr>
        <w:t>Habilitação Jurídica</w:t>
      </w:r>
    </w:p>
    <w:p w14:paraId="7BE1D351">
      <w:pPr>
        <w:pStyle w:val="72"/>
        <w:numPr>
          <w:ilvl w:val="2"/>
          <w:numId w:val="25"/>
        </w:numPr>
        <w:spacing w:before="240" w:after="240" w:line="360" w:lineRule="auto"/>
        <w:ind w:left="0" w:firstLine="0"/>
        <w:contextualSpacing w:val="0"/>
        <w:jc w:val="both"/>
        <w:rPr>
          <w:rStyle w:val="101"/>
          <w:b/>
          <w:bCs/>
        </w:rPr>
      </w:pPr>
      <w:r>
        <w:rPr>
          <w:rStyle w:val="101"/>
          <w:b/>
          <w:bCs/>
        </w:rPr>
        <w:t xml:space="preserve">Documentos Exigidos por Tipo de Licitante: </w:t>
      </w:r>
    </w:p>
    <w:p w14:paraId="2174C04A">
      <w:pPr>
        <w:pStyle w:val="72"/>
        <w:numPr>
          <w:ilvl w:val="0"/>
          <w:numId w:val="28"/>
        </w:numPr>
        <w:spacing w:before="240" w:after="240" w:line="360" w:lineRule="auto"/>
        <w:ind w:left="714" w:hanging="357"/>
        <w:contextualSpacing w:val="0"/>
        <w:jc w:val="both"/>
      </w:pPr>
      <w:r>
        <w:rPr>
          <w:b/>
          <w:bCs/>
        </w:rPr>
        <w:t>Pessoa física:</w:t>
      </w:r>
      <w:r>
        <w:t xml:space="preserve"> Cédula de identidade (RG) ou documento equivalente que, por força de lei, tenha validade para fins de identificação em todo o território nacional.</w:t>
      </w:r>
    </w:p>
    <w:p w14:paraId="1701A616">
      <w:pPr>
        <w:pStyle w:val="72"/>
        <w:numPr>
          <w:ilvl w:val="0"/>
          <w:numId w:val="28"/>
        </w:numPr>
        <w:spacing w:before="240" w:after="240" w:line="360" w:lineRule="auto"/>
        <w:ind w:left="714" w:hanging="357"/>
        <w:contextualSpacing w:val="0"/>
        <w:jc w:val="both"/>
      </w:pPr>
      <w:r>
        <w:rPr>
          <w:b/>
          <w:bCs/>
        </w:rPr>
        <w:t>Empresário individual:</w:t>
      </w:r>
      <w:r>
        <w:t xml:space="preserve"> Inscrição no Registro Público de Empresas Mercantis, a cargo da Junta Comercial da respectiva sede.</w:t>
      </w:r>
    </w:p>
    <w:p w14:paraId="354D4D3E">
      <w:pPr>
        <w:pStyle w:val="72"/>
        <w:numPr>
          <w:ilvl w:val="0"/>
          <w:numId w:val="28"/>
        </w:numPr>
        <w:spacing w:before="240" w:after="240" w:line="360" w:lineRule="auto"/>
        <w:ind w:left="714" w:hanging="357"/>
        <w:contextualSpacing w:val="0"/>
        <w:jc w:val="both"/>
      </w:pPr>
      <w:r>
        <w:rPr>
          <w:b/>
          <w:bCs/>
        </w:rPr>
        <w:t>Microempreendedor Individual - MEI:</w:t>
      </w:r>
      <w:r>
        <w:t xml:space="preserve"> Certificado da Condição de Microempreendedor Individual – CCMEI, emitido pelo Portal do Empreendedor.</w:t>
      </w:r>
    </w:p>
    <w:p w14:paraId="719926A7">
      <w:pPr>
        <w:pStyle w:val="72"/>
        <w:numPr>
          <w:ilvl w:val="0"/>
          <w:numId w:val="28"/>
        </w:numPr>
        <w:spacing w:before="240" w:after="240" w:line="360" w:lineRule="auto"/>
        <w:ind w:left="714" w:hanging="357"/>
        <w:contextualSpacing w:val="0"/>
        <w:jc w:val="both"/>
      </w:pPr>
      <w:r>
        <w:rPr>
          <w:b/>
          <w:bCs/>
        </w:rPr>
        <w:t>Sociedade empresária, sociedade limitada unipessoal – SLU ou sociedade identificada como empresa individual de responsabilidade limitada - EIRELI:</w:t>
      </w:r>
      <w:r>
        <w:t xml:space="preserve"> Inscrição do ato constitutivo, estatuto ou contrato social no Registro Público de Empresas Mercantis, a cargo da Junta Comercial da respectiva sede, acompanhada de documento comprobatório de seus administradores (ex: procuração, ata de eleição).</w:t>
      </w:r>
    </w:p>
    <w:p w14:paraId="1B6CBA6C">
      <w:pPr>
        <w:pStyle w:val="72"/>
        <w:numPr>
          <w:ilvl w:val="0"/>
          <w:numId w:val="28"/>
        </w:numPr>
        <w:spacing w:before="240" w:after="240" w:line="360" w:lineRule="auto"/>
        <w:ind w:left="714" w:hanging="357"/>
        <w:contextualSpacing w:val="0"/>
        <w:jc w:val="both"/>
      </w:pPr>
      <w:r>
        <w:rPr>
          <w:b/>
          <w:bCs/>
        </w:rPr>
        <w:t>Sociedade empresária estrangeira:</w:t>
      </w:r>
      <w:r>
        <w:t xml:space="preserve"> Portaria de autorização de funcionamento no Brasil, publicada no Diário Oficial da União e arquivada na Junta Comercial da unidade federativa onde se localizar a filial, agência, sucursal ou estabelecimento, o qual será considerado como sua sede, conforme Instrução Normativa DREI/ME n.º 77, de 18 de março de 2020.</w:t>
      </w:r>
    </w:p>
    <w:p w14:paraId="35388E7D">
      <w:pPr>
        <w:pStyle w:val="72"/>
        <w:numPr>
          <w:ilvl w:val="0"/>
          <w:numId w:val="28"/>
        </w:numPr>
        <w:spacing w:before="240" w:after="240" w:line="360" w:lineRule="auto"/>
        <w:ind w:left="714" w:hanging="357"/>
        <w:contextualSpacing w:val="0"/>
        <w:jc w:val="both"/>
      </w:pPr>
      <w:r>
        <w:rPr>
          <w:b/>
          <w:bCs/>
        </w:rPr>
        <w:t>Sociedade simples:</w:t>
      </w:r>
      <w:r>
        <w:t xml:space="preserve"> Inscrição do ato constitutivo no Registro Civil de Pessoas Jurídicas do local de sua sede, acompanhada de documento comprobatório de seus administradores.</w:t>
      </w:r>
    </w:p>
    <w:p w14:paraId="55BF0F4D">
      <w:pPr>
        <w:pStyle w:val="72"/>
        <w:numPr>
          <w:ilvl w:val="0"/>
          <w:numId w:val="28"/>
        </w:numPr>
        <w:spacing w:before="240" w:after="240" w:line="360" w:lineRule="auto"/>
        <w:ind w:left="714" w:hanging="357"/>
        <w:contextualSpacing w:val="0"/>
        <w:jc w:val="both"/>
      </w:pPr>
      <w:r>
        <w:rPr>
          <w:b/>
          <w:bCs/>
        </w:rPr>
        <w:t>Filial, sucursal ou agência de sociedade simples ou empresária:</w:t>
      </w:r>
      <w: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1DBAD82A">
      <w:pPr>
        <w:pStyle w:val="72"/>
        <w:numPr>
          <w:ilvl w:val="0"/>
          <w:numId w:val="28"/>
        </w:numPr>
        <w:spacing w:before="240" w:after="240" w:line="360" w:lineRule="auto"/>
        <w:ind w:left="714" w:hanging="357"/>
        <w:contextualSpacing w:val="0"/>
        <w:jc w:val="both"/>
      </w:pPr>
      <w:r>
        <w:rPr>
          <w:b/>
          <w:bCs/>
        </w:rPr>
        <w:t>Sociedade cooperativa:</w:t>
      </w:r>
      <w:r>
        <w:t xml:space="preserve"> Ata de fundação e estatuto social, com a ata da assembleia que o aprovou, devidamente arquivado na Junta Comercial ou inscrito no Registro Civil das Pessoas Jurídicas da respectiva sede, além do registro de que trata o art. 107 da Lei nº 5.764, de 16 de dezembro de 1971.</w:t>
      </w:r>
    </w:p>
    <w:p w14:paraId="240378E9">
      <w:pPr>
        <w:pStyle w:val="72"/>
        <w:numPr>
          <w:ilvl w:val="3"/>
          <w:numId w:val="29"/>
        </w:numPr>
        <w:spacing w:before="240" w:after="240" w:line="360" w:lineRule="auto"/>
        <w:ind w:left="0" w:firstLine="0"/>
        <w:jc w:val="both"/>
      </w:pPr>
      <w:r>
        <w:t>Os documentos apresentados deverão estar acompanhados de todas as alterações ou da consolidação respectiva, garantindo a completude e atualização das informações.</w:t>
      </w:r>
    </w:p>
    <w:p w14:paraId="011AD476">
      <w:pPr>
        <w:pStyle w:val="72"/>
        <w:spacing w:before="240" w:after="240" w:line="360" w:lineRule="auto"/>
        <w:ind w:left="0"/>
        <w:jc w:val="both"/>
        <w:rPr>
          <w:rStyle w:val="101"/>
        </w:rPr>
      </w:pPr>
    </w:p>
    <w:p w14:paraId="34423838">
      <w:pPr>
        <w:pStyle w:val="72"/>
        <w:numPr>
          <w:ilvl w:val="1"/>
          <w:numId w:val="25"/>
        </w:numPr>
        <w:spacing w:before="240" w:after="240" w:line="360" w:lineRule="auto"/>
        <w:ind w:left="0" w:firstLine="0"/>
        <w:contextualSpacing w:val="0"/>
        <w:jc w:val="both"/>
        <w:rPr>
          <w:rStyle w:val="101"/>
          <w:b/>
          <w:bCs/>
        </w:rPr>
      </w:pPr>
      <w:r>
        <w:rPr>
          <w:rStyle w:val="101"/>
          <w:b/>
          <w:bCs/>
        </w:rPr>
        <w:t>Habilitação Fiscal, Social e Trabalhista</w:t>
      </w:r>
    </w:p>
    <w:p w14:paraId="6B73914F">
      <w:pPr>
        <w:pStyle w:val="72"/>
        <w:numPr>
          <w:ilvl w:val="2"/>
          <w:numId w:val="25"/>
        </w:numPr>
        <w:spacing w:before="240" w:after="240" w:line="360" w:lineRule="auto"/>
        <w:ind w:left="0" w:firstLine="0"/>
        <w:contextualSpacing w:val="0"/>
        <w:jc w:val="both"/>
        <w:rPr>
          <w:b/>
          <w:bCs/>
        </w:rPr>
      </w:pPr>
      <w:r>
        <w:rPr>
          <w:b/>
          <w:bCs/>
        </w:rPr>
        <w:t>Inscrição e Regularidade:</w:t>
      </w:r>
    </w:p>
    <w:p w14:paraId="4B9A8327">
      <w:pPr>
        <w:pStyle w:val="72"/>
        <w:numPr>
          <w:ilvl w:val="3"/>
          <w:numId w:val="25"/>
        </w:numPr>
        <w:spacing w:before="240" w:after="240" w:line="360" w:lineRule="auto"/>
        <w:ind w:left="0" w:firstLine="0"/>
        <w:contextualSpacing w:val="0"/>
        <w:jc w:val="both"/>
        <w:rPr>
          <w:b/>
          <w:bCs/>
        </w:rPr>
      </w:pPr>
      <w:r>
        <w:rPr>
          <w:b/>
          <w:bCs/>
        </w:rPr>
        <w:t>Inscrição no CNPJ/CPF:</w:t>
      </w:r>
      <w:r>
        <w:t xml:space="preserve"> Prova de inscrição no Cadastro Nacional de Pessoas Jurídicas (CNPJ) ou no Cadastro de Pessoas Físicas (CPF), conforme o caso.</w:t>
      </w:r>
    </w:p>
    <w:p w14:paraId="01A647F6">
      <w:pPr>
        <w:pStyle w:val="72"/>
        <w:numPr>
          <w:ilvl w:val="3"/>
          <w:numId w:val="25"/>
        </w:numPr>
        <w:spacing w:before="240" w:after="240" w:line="360" w:lineRule="auto"/>
        <w:ind w:left="0" w:firstLine="0"/>
        <w:contextualSpacing w:val="0"/>
        <w:jc w:val="both"/>
        <w:rPr>
          <w:b/>
          <w:bCs/>
        </w:rPr>
      </w:pPr>
      <w:r>
        <w:rPr>
          <w:b/>
          <w:bCs/>
        </w:rPr>
        <w:t>Regularidade Fiscal Federal:</w:t>
      </w:r>
      <w:r>
        <w:t xml:space="preserve">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w:t>
      </w:r>
    </w:p>
    <w:p w14:paraId="63236535">
      <w:pPr>
        <w:pStyle w:val="72"/>
        <w:numPr>
          <w:ilvl w:val="3"/>
          <w:numId w:val="25"/>
        </w:numPr>
        <w:spacing w:before="240" w:after="240" w:line="360" w:lineRule="auto"/>
        <w:ind w:left="0" w:firstLine="0"/>
        <w:contextualSpacing w:val="0"/>
        <w:jc w:val="both"/>
        <w:rPr>
          <w:b/>
          <w:bCs/>
        </w:rPr>
      </w:pPr>
      <w:r>
        <w:rPr>
          <w:b/>
          <w:bCs/>
        </w:rPr>
        <w:t>Regularidade com o FGTS:</w:t>
      </w:r>
      <w:r>
        <w:t xml:space="preserve"> Prova de regularidade com o Fundo de Garantia do Tempo de Serviço (FGTS), por meio do Certificado de Regularidade do FGTS (CRF).</w:t>
      </w:r>
    </w:p>
    <w:p w14:paraId="5FEE8EF9">
      <w:pPr>
        <w:pStyle w:val="72"/>
        <w:numPr>
          <w:ilvl w:val="3"/>
          <w:numId w:val="25"/>
        </w:numPr>
        <w:spacing w:before="240" w:after="240" w:line="360" w:lineRule="auto"/>
        <w:ind w:left="0" w:firstLine="0"/>
        <w:contextualSpacing w:val="0"/>
        <w:jc w:val="both"/>
        <w:rPr>
          <w:b/>
          <w:bCs/>
        </w:rPr>
      </w:pPr>
      <w:r>
        <w:rPr>
          <w:b/>
          <w:bCs/>
        </w:rPr>
        <w:t>Regularidade com a Justiça do Trabalho:</w:t>
      </w:r>
      <w:r>
        <w:t xml:space="preserve">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DEFE143">
      <w:pPr>
        <w:pStyle w:val="72"/>
        <w:numPr>
          <w:ilvl w:val="3"/>
          <w:numId w:val="25"/>
        </w:numPr>
        <w:spacing w:before="240" w:after="240" w:line="360" w:lineRule="auto"/>
        <w:ind w:left="0" w:firstLine="0"/>
        <w:contextualSpacing w:val="0"/>
        <w:jc w:val="both"/>
        <w:rPr>
          <w:b/>
          <w:bCs/>
        </w:rPr>
      </w:pPr>
      <w:r>
        <w:rPr>
          <w:b/>
          <w:bCs/>
        </w:rPr>
        <w:t>Inscrição Estadual:</w:t>
      </w:r>
      <w:r>
        <w:t xml:space="preserve"> Prova de inscrição no cadastro de contribuintes Estadual relativo ao domicílio ou sede do fornecedor, pertinente ao seu ramo de atividade e compatível com o objeto contratual.</w:t>
      </w:r>
    </w:p>
    <w:p w14:paraId="56A1BC60">
      <w:pPr>
        <w:pStyle w:val="72"/>
        <w:numPr>
          <w:ilvl w:val="3"/>
          <w:numId w:val="25"/>
        </w:numPr>
        <w:spacing w:before="240" w:after="240" w:line="360" w:lineRule="auto"/>
        <w:ind w:left="0" w:firstLine="0"/>
        <w:contextualSpacing w:val="0"/>
        <w:jc w:val="both"/>
        <w:rPr>
          <w:b/>
          <w:bCs/>
        </w:rPr>
      </w:pPr>
      <w:r>
        <w:rPr>
          <w:b/>
          <w:bCs/>
        </w:rPr>
        <w:t>Regularidade Fazendária do Domicílio:</w:t>
      </w:r>
      <w:r>
        <w:t xml:space="preserve"> Prova de regularidade com a Fazenda do domicílio ou sede do fornecedor, relativa à atividade em cujo exercício contrata ou concorre.</w:t>
      </w:r>
    </w:p>
    <w:p w14:paraId="15C4A471">
      <w:pPr>
        <w:pStyle w:val="72"/>
        <w:numPr>
          <w:ilvl w:val="3"/>
          <w:numId w:val="25"/>
        </w:numPr>
        <w:spacing w:before="240" w:after="240" w:line="360" w:lineRule="auto"/>
        <w:ind w:left="0" w:firstLine="0"/>
        <w:contextualSpacing w:val="0"/>
        <w:jc w:val="both"/>
        <w:rPr>
          <w:b/>
          <w:bCs/>
        </w:rPr>
      </w:pPr>
      <w:r>
        <w:rPr>
          <w:b/>
          <w:bCs/>
        </w:rPr>
        <w:t>Comprovação de Isenção Estadual:</w:t>
      </w:r>
      <w:r>
        <w:t xml:space="preserve"> Caso o fornecedor seja considerado isento dos tributos Estaduais relacionados ao objeto contratual, deverá comprovar tal condição mediante a apresentação de declaração da Fazenda respectiva do seu domicílio ou sede, ou outra equivalente, na forma da lei.</w:t>
      </w:r>
    </w:p>
    <w:p w14:paraId="33E5364E">
      <w:pPr>
        <w:pStyle w:val="72"/>
        <w:numPr>
          <w:ilvl w:val="3"/>
          <w:numId w:val="25"/>
        </w:numPr>
        <w:spacing w:before="240" w:after="240" w:line="360" w:lineRule="auto"/>
        <w:ind w:left="0" w:firstLine="0"/>
        <w:contextualSpacing w:val="0"/>
        <w:jc w:val="both"/>
        <w:rPr>
          <w:b/>
          <w:bCs/>
        </w:rPr>
      </w:pPr>
      <w:r>
        <w:rPr>
          <w:b/>
          <w:bCs/>
        </w:rPr>
        <w:t>MEI - Dispensa de Comprovação:</w:t>
      </w:r>
      <w:r>
        <w:t xml:space="preserve"> O fornecedor enquadrado como microempreendedor individual (MEI) que pretenda auferir os benefícios do tratamento diferenciado previstos na Lei Complementar n. 123, de 2006, estará dispensado da prova de inscrição nos cadastros de contribuintes estadual e municipal.</w:t>
      </w:r>
    </w:p>
    <w:p w14:paraId="7B610B19">
      <w:pPr>
        <w:pStyle w:val="72"/>
        <w:numPr>
          <w:ilvl w:val="1"/>
          <w:numId w:val="25"/>
        </w:numPr>
        <w:spacing w:before="240" w:after="240" w:line="360" w:lineRule="auto"/>
        <w:ind w:left="0" w:firstLine="0"/>
        <w:contextualSpacing w:val="0"/>
        <w:jc w:val="both"/>
        <w:rPr>
          <w:b/>
          <w:bCs/>
        </w:rPr>
      </w:pPr>
      <w:r>
        <w:rPr>
          <w:b/>
          <w:bCs/>
        </w:rPr>
        <w:t>Qualificação Econômica - Financeira</w:t>
      </w:r>
    </w:p>
    <w:p w14:paraId="54F3CA32">
      <w:pPr>
        <w:pStyle w:val="72"/>
        <w:numPr>
          <w:ilvl w:val="2"/>
          <w:numId w:val="25"/>
        </w:numPr>
        <w:spacing w:before="240" w:after="240" w:line="360" w:lineRule="auto"/>
        <w:ind w:left="0" w:firstLine="0"/>
        <w:contextualSpacing w:val="0"/>
        <w:jc w:val="both"/>
        <w:rPr>
          <w:b/>
          <w:bCs/>
        </w:rPr>
      </w:pPr>
      <w:r>
        <w:rPr>
          <w:b/>
          <w:bCs/>
        </w:rPr>
        <w:t>Comprovação de Solidez Financeira:</w:t>
      </w:r>
    </w:p>
    <w:p w14:paraId="27A0D3C8">
      <w:pPr>
        <w:pStyle w:val="72"/>
        <w:numPr>
          <w:ilvl w:val="3"/>
          <w:numId w:val="25"/>
        </w:numPr>
        <w:spacing w:before="240" w:after="240" w:line="360" w:lineRule="auto"/>
        <w:ind w:left="0" w:firstLine="0"/>
        <w:contextualSpacing w:val="0"/>
        <w:jc w:val="both"/>
        <w:rPr>
          <w:b/>
          <w:bCs/>
        </w:rPr>
      </w:pPr>
      <w:r>
        <w:rPr>
          <w:b/>
          <w:bCs/>
        </w:rPr>
        <w:t>Certidão de Insolvência Civil (Pessoa Física/Sociedade Simples):</w:t>
      </w:r>
      <w:r>
        <w:t xml:space="preserve"> Certidão negativa de insolvência civil expedida pelo distribuidor do domicílio ou sede do licitante, caso se trate de pessoa física, desde que admitida a sua participação na licitação, ou de sociedade simples.</w:t>
      </w:r>
    </w:p>
    <w:p w14:paraId="5FE95D8C">
      <w:pPr>
        <w:pStyle w:val="72"/>
        <w:numPr>
          <w:ilvl w:val="3"/>
          <w:numId w:val="25"/>
        </w:numPr>
        <w:spacing w:before="240" w:after="240" w:line="360" w:lineRule="auto"/>
        <w:ind w:left="0" w:firstLine="0"/>
        <w:contextualSpacing w:val="0"/>
        <w:jc w:val="both"/>
        <w:rPr>
          <w:b/>
          <w:bCs/>
        </w:rPr>
      </w:pPr>
      <w:r>
        <w:rPr>
          <w:b/>
          <w:bCs/>
        </w:rPr>
        <w:t>Certidão de Falência:</w:t>
      </w:r>
      <w:r>
        <w:t xml:space="preserve"> Certidão negativa de falência expedida pelo distribuidor da sede do fornecedor, nos termos do art. 69, caput, inciso II da Lei nº 14.133/2021.</w:t>
      </w:r>
    </w:p>
    <w:p w14:paraId="16B69F0D">
      <w:pPr>
        <w:pStyle w:val="72"/>
        <w:numPr>
          <w:ilvl w:val="3"/>
          <w:numId w:val="25"/>
        </w:numPr>
        <w:spacing w:before="240" w:after="240" w:line="360" w:lineRule="auto"/>
        <w:ind w:left="0" w:firstLine="0"/>
        <w:contextualSpacing w:val="0"/>
        <w:jc w:val="both"/>
        <w:rPr>
          <w:b/>
          <w:bCs/>
        </w:rPr>
      </w:pPr>
      <w:r>
        <w:rPr>
          <w:b/>
          <w:bCs/>
        </w:rPr>
        <w:t>Balanço Patrimonial e Demonstrações Contábeis:</w:t>
      </w:r>
      <w:r>
        <w:t xml:space="preserve"> Balanço patrimonial, demonstração de resultado de exercício e demais demonstrações contábeis dos 2 (dois) últimos exercícios sociais, comprovando:</w:t>
      </w:r>
    </w:p>
    <w:p w14:paraId="77006B5E">
      <w:pPr>
        <w:pStyle w:val="72"/>
        <w:numPr>
          <w:ilvl w:val="0"/>
          <w:numId w:val="30"/>
        </w:numPr>
        <w:spacing w:before="240" w:after="240" w:line="360" w:lineRule="auto"/>
        <w:ind w:left="714" w:hanging="357"/>
        <w:contextualSpacing w:val="0"/>
        <w:jc w:val="both"/>
      </w:pPr>
      <w:r>
        <w:rPr>
          <w:b/>
          <w:bCs/>
        </w:rPr>
        <w:t>Índices de Liquidez:</w:t>
      </w:r>
      <w:r>
        <w:t xml:space="preserve"> Índices de Liquidez Geral (LG), Liquidez Corrente (LC), e Solvência Geral (SG) superiores a 1 (um).</w:t>
      </w:r>
    </w:p>
    <w:p w14:paraId="6623F772">
      <w:pPr>
        <w:pStyle w:val="72"/>
        <w:numPr>
          <w:ilvl w:val="0"/>
          <w:numId w:val="30"/>
        </w:numPr>
        <w:spacing w:before="240" w:after="240" w:line="360" w:lineRule="auto"/>
        <w:ind w:left="714" w:hanging="357"/>
        <w:contextualSpacing w:val="0"/>
        <w:jc w:val="both"/>
      </w:pPr>
      <w:r>
        <w:rPr>
          <w:b/>
          <w:bCs/>
        </w:rPr>
        <w:t>Empresas Recém-Criadas:</w:t>
      </w:r>
      <w:r>
        <w:t xml:space="preserve"> As empresas criadas no exercício financeiro da licitação deverão atender a todas as exigências da habilitação e poderão substituir os demonstrativos contábeis pelo balanço de abertura, nos termos do art. 65, §2°, da Lei nº 14.133/2021.</w:t>
      </w:r>
    </w:p>
    <w:p w14:paraId="0CD8CBD3">
      <w:pPr>
        <w:pStyle w:val="72"/>
        <w:numPr>
          <w:ilvl w:val="0"/>
          <w:numId w:val="30"/>
        </w:numPr>
        <w:spacing w:before="240" w:after="240" w:line="360" w:lineRule="auto"/>
        <w:ind w:left="714" w:hanging="357"/>
        <w:contextualSpacing w:val="0"/>
        <w:jc w:val="both"/>
      </w:pPr>
      <w:r>
        <w:rPr>
          <w:b/>
          <w:bCs/>
        </w:rPr>
        <w:t>Empresas com Menos de 2 Anos:</w:t>
      </w:r>
      <w:r>
        <w:t xml:space="preserve"> Os documentos referidos acima limitar-se-ão ao último exercício no caso de a pessoa jurídica ter sido constituída há menos de 2 (dois) anos.</w:t>
      </w:r>
    </w:p>
    <w:p w14:paraId="74101758">
      <w:pPr>
        <w:pStyle w:val="72"/>
        <w:numPr>
          <w:ilvl w:val="0"/>
          <w:numId w:val="30"/>
        </w:numPr>
        <w:spacing w:before="240" w:after="240" w:line="360" w:lineRule="auto"/>
        <w:ind w:left="714" w:hanging="357"/>
        <w:contextualSpacing w:val="0"/>
        <w:jc w:val="both"/>
      </w:pPr>
      <w:r>
        <w:rPr>
          <w:b/>
          <w:bCs/>
        </w:rPr>
        <w:t>Limite de Transmissão da ECD:</w:t>
      </w:r>
      <w:r>
        <w:t xml:space="preserve"> Os documentos referidos acima deverão ser exigidos com base no limite definido pela Receita Federal do Brasil para transmissão da Escrituração Contábil Digital - ECD ao Sped.</w:t>
      </w:r>
    </w:p>
    <w:p w14:paraId="285C85EE">
      <w:pPr>
        <w:pStyle w:val="72"/>
        <w:numPr>
          <w:ilvl w:val="3"/>
          <w:numId w:val="25"/>
        </w:numPr>
        <w:spacing w:before="240" w:after="240" w:line="360" w:lineRule="auto"/>
        <w:ind w:left="0" w:firstLine="0"/>
        <w:contextualSpacing w:val="0"/>
        <w:jc w:val="both"/>
      </w:pPr>
      <w:r>
        <w:rPr>
          <w:b/>
          <w:bCs/>
        </w:rPr>
        <w:t>Capital Mínimo ou Patrimônio Líquido Mínimo:</w:t>
      </w:r>
      <w:r>
        <w:t xml:space="preserve"> Caso a empresa licitante apresente resultado inferior ou igual a 1 (um) em qualquer dos índices de Liquidez Geral (LG), Solvência Geral (SG) e Liquidez Corrente (LC), será exigido para fins de habilitação capital mínimo ou patrimônio líquido mínimo de 10% (dez por cento) do valor total estimado da contratação ou valor total estimado da parcela pertinente.</w:t>
      </w:r>
    </w:p>
    <w:p w14:paraId="008AB1CA">
      <w:pPr>
        <w:pStyle w:val="72"/>
        <w:numPr>
          <w:ilvl w:val="3"/>
          <w:numId w:val="25"/>
        </w:numPr>
        <w:spacing w:before="240" w:after="240" w:line="360" w:lineRule="auto"/>
        <w:ind w:left="0" w:firstLine="0"/>
        <w:contextualSpacing w:val="0"/>
        <w:jc w:val="both"/>
      </w:pPr>
      <w:r>
        <w:rPr>
          <w:b/>
          <w:bCs/>
        </w:rPr>
        <w:t>Atestado de Índices Econômicos:</w:t>
      </w:r>
      <w:r>
        <w:t xml:space="preserve"> O atendimento dos índices econômicos previstos neste item deverá ser atestado mediante declaração assinada por profissional habilitado da área contábil, apresentada pelo fornecedor, confirmando a veracidade das informações.</w:t>
      </w:r>
    </w:p>
    <w:p w14:paraId="63D339F1">
      <w:pPr>
        <w:pStyle w:val="72"/>
        <w:numPr>
          <w:ilvl w:val="1"/>
          <w:numId w:val="25"/>
        </w:numPr>
        <w:spacing w:before="240" w:after="240" w:line="360" w:lineRule="auto"/>
        <w:ind w:left="0" w:firstLine="0"/>
        <w:contextualSpacing w:val="0"/>
        <w:jc w:val="both"/>
      </w:pPr>
      <w:r>
        <w:rPr>
          <w:b/>
          <w:bCs/>
        </w:rPr>
        <w:t>Qualificação Técnica</w:t>
      </w:r>
    </w:p>
    <w:p w14:paraId="6A80BA19">
      <w:pPr>
        <w:jc w:val="both"/>
      </w:pPr>
      <w:r>
        <w:rPr>
          <w:b/>
          <w:bCs/>
        </w:rPr>
        <w:t>23.18.1.</w:t>
      </w:r>
      <w:r>
        <w:t xml:space="preserve"> A PROPONENTE deverá comprovar sua expertise nas atividades descritas neste Termo de Referência, apresentando a documentação necessária que ateste sua qualificação técnica para o cumprimento adequado das obrigações contratuais, conforme as seguintes exigências:</w:t>
      </w:r>
    </w:p>
    <w:p w14:paraId="67703AA7">
      <w:pPr>
        <w:jc w:val="both"/>
      </w:pPr>
    </w:p>
    <w:p w14:paraId="5787163F">
      <w:pPr>
        <w:rPr>
          <w:b/>
        </w:rPr>
      </w:pPr>
      <w:bookmarkStart w:id="39" w:name="_heading=h.tzscs5ufdst1" w:colFirst="0" w:colLast="0"/>
      <w:bookmarkEnd w:id="39"/>
      <w:r>
        <w:rPr>
          <w:b/>
          <w:bCs/>
        </w:rPr>
        <w:t>23.18.2.</w:t>
      </w:r>
      <w:r>
        <w:t xml:space="preserve"> </w:t>
      </w:r>
      <w:r>
        <w:rPr>
          <w:b/>
        </w:rPr>
        <w:t>Registo da empresa</w:t>
      </w:r>
    </w:p>
    <w:p w14:paraId="0104F696">
      <w:pPr>
        <w:jc w:val="both"/>
      </w:pPr>
    </w:p>
    <w:p w14:paraId="22043CCB">
      <w:pPr>
        <w:jc w:val="both"/>
      </w:pPr>
      <w:r>
        <w:rPr>
          <w:b/>
          <w:bCs/>
        </w:rPr>
        <w:t>23.18.2.1.</w:t>
      </w:r>
      <w:r>
        <w:t xml:space="preserve"> Deverá ser apresentada a Certidão de Registro e Quitação (CRQ) emitida pelo Conselho Regional de Engenharia e Agronomia (CREA) no qual a empresa está registrada, com indicação do(s) responsável(is) técnico(s) que representam a empresa, acompanhada de sua validade atual. A empresa deve comprovar que está regularizada junto ao respectivo conselho profissional.</w:t>
      </w:r>
    </w:p>
    <w:p w14:paraId="7C09A394">
      <w:pPr>
        <w:rPr>
          <w:b/>
        </w:rPr>
      </w:pPr>
      <w:bookmarkStart w:id="40" w:name="_heading=h.p7bgcv50ufhu" w:colFirst="0" w:colLast="0"/>
      <w:bookmarkEnd w:id="40"/>
      <w:r>
        <w:rPr>
          <w:b/>
          <w:bCs/>
        </w:rPr>
        <w:t>23.18.3.</w:t>
      </w:r>
      <w:r>
        <w:t xml:space="preserve"> </w:t>
      </w:r>
      <w:r>
        <w:rPr>
          <w:b/>
        </w:rPr>
        <w:t>Comprovação de aptidão Técnica</w:t>
      </w:r>
    </w:p>
    <w:p w14:paraId="2AC48D33">
      <w:pPr>
        <w:jc w:val="both"/>
      </w:pPr>
    </w:p>
    <w:p w14:paraId="2951F300">
      <w:pPr>
        <w:jc w:val="both"/>
      </w:pPr>
      <w:r>
        <w:rPr>
          <w:b/>
          <w:bCs/>
        </w:rPr>
        <w:t>23.18.3.1.</w:t>
      </w:r>
      <w:r>
        <w:t xml:space="preserve"> A comprovação da aptidão técnica da empresa deverá ser realizada por meio da apresentação de atestado(s) fornecido(s) por pessoas jurídicas de direito público ou privado, no qual(is) deve(m) constar claramente que a empresa executou ou está executando serviços de natureza e complexidade semelhantes ao objeto deste Termo de Referência. Tais atestados devem ser detalhados, incluindo o período de execução, a descrição das atividades realizadas e a conformidade com os requisitos técnicos exigidos, evidenciando a capacidade da empresa para realizar os serviços de forma eficiente e conforme as normas estabelecidas.</w:t>
      </w:r>
    </w:p>
    <w:p w14:paraId="792E3C8D">
      <w:pPr>
        <w:jc w:val="both"/>
      </w:pPr>
    </w:p>
    <w:tbl>
      <w:tblPr>
        <w:tblStyle w:val="145"/>
        <w:tblW w:w="9209" w:type="dxa"/>
        <w:tblInd w:w="0" w:type="dxa"/>
        <w:tblLayout w:type="fixed"/>
        <w:tblCellMar>
          <w:top w:w="0" w:type="dxa"/>
          <w:left w:w="70" w:type="dxa"/>
          <w:bottom w:w="0" w:type="dxa"/>
          <w:right w:w="70" w:type="dxa"/>
        </w:tblCellMar>
      </w:tblPr>
      <w:tblGrid>
        <w:gridCol w:w="846"/>
        <w:gridCol w:w="6095"/>
        <w:gridCol w:w="1418"/>
        <w:gridCol w:w="850"/>
      </w:tblGrid>
      <w:tr w14:paraId="59A9BF23">
        <w:tblPrEx>
          <w:tblCellMar>
            <w:top w:w="0" w:type="dxa"/>
            <w:left w:w="70" w:type="dxa"/>
            <w:bottom w:w="0" w:type="dxa"/>
            <w:right w:w="70" w:type="dxa"/>
          </w:tblCellMar>
        </w:tblPrEx>
        <w:trPr>
          <w:trHeight w:val="315" w:hRule="atLeast"/>
        </w:trPr>
        <w:tc>
          <w:tcPr>
            <w:tcW w:w="846" w:type="dxa"/>
            <w:tcBorders>
              <w:top w:val="single" w:color="000000" w:sz="4" w:space="0"/>
              <w:left w:val="single" w:color="000000" w:sz="4" w:space="0"/>
              <w:bottom w:val="single" w:color="000000" w:sz="4" w:space="0"/>
              <w:right w:val="single" w:color="000000" w:sz="4" w:space="0"/>
            </w:tcBorders>
            <w:shd w:val="clear" w:color="auto" w:fill="F0F0F0"/>
            <w:vAlign w:val="center"/>
          </w:tcPr>
          <w:p w14:paraId="47E41573">
            <w:pPr>
              <w:spacing w:line="240" w:lineRule="auto"/>
              <w:jc w:val="center"/>
              <w:rPr>
                <w:b/>
                <w:i/>
                <w:color w:val="000000"/>
                <w:sz w:val="20"/>
                <w:szCs w:val="20"/>
              </w:rPr>
            </w:pPr>
            <w:r>
              <w:rPr>
                <w:b/>
                <w:i/>
                <w:color w:val="000000"/>
                <w:sz w:val="20"/>
                <w:szCs w:val="20"/>
              </w:rPr>
              <w:t>ITEM</w:t>
            </w:r>
          </w:p>
        </w:tc>
        <w:tc>
          <w:tcPr>
            <w:tcW w:w="6095" w:type="dxa"/>
            <w:tcBorders>
              <w:top w:val="single" w:color="000000" w:sz="4" w:space="0"/>
              <w:left w:val="nil"/>
              <w:bottom w:val="single" w:color="000000" w:sz="4" w:space="0"/>
              <w:right w:val="single" w:color="000000" w:sz="4" w:space="0"/>
            </w:tcBorders>
            <w:shd w:val="clear" w:color="auto" w:fill="F0F0F0"/>
            <w:vAlign w:val="center"/>
          </w:tcPr>
          <w:p w14:paraId="1417BD70">
            <w:pPr>
              <w:spacing w:line="240" w:lineRule="auto"/>
              <w:jc w:val="center"/>
              <w:rPr>
                <w:b/>
                <w:color w:val="000000"/>
                <w:sz w:val="20"/>
                <w:szCs w:val="20"/>
              </w:rPr>
            </w:pPr>
            <w:r>
              <w:rPr>
                <w:b/>
                <w:color w:val="000000"/>
                <w:sz w:val="20"/>
                <w:szCs w:val="20"/>
              </w:rPr>
              <w:t>DESCRIÇÃO</w:t>
            </w:r>
          </w:p>
        </w:tc>
        <w:tc>
          <w:tcPr>
            <w:tcW w:w="1418" w:type="dxa"/>
            <w:tcBorders>
              <w:top w:val="single" w:color="000000" w:sz="4" w:space="0"/>
              <w:left w:val="nil"/>
              <w:bottom w:val="single" w:color="000000" w:sz="4" w:space="0"/>
              <w:right w:val="single" w:color="000000" w:sz="4" w:space="0"/>
            </w:tcBorders>
            <w:shd w:val="clear" w:color="auto" w:fill="F0F0F0"/>
            <w:vAlign w:val="center"/>
          </w:tcPr>
          <w:p w14:paraId="6DCB314D">
            <w:pPr>
              <w:spacing w:line="240" w:lineRule="auto"/>
              <w:jc w:val="center"/>
              <w:rPr>
                <w:b/>
                <w:i/>
                <w:color w:val="000000"/>
                <w:sz w:val="20"/>
                <w:szCs w:val="20"/>
              </w:rPr>
            </w:pPr>
            <w:r>
              <w:rPr>
                <w:b/>
                <w:i/>
                <w:color w:val="000000"/>
                <w:sz w:val="20"/>
                <w:szCs w:val="20"/>
              </w:rPr>
              <w:t>UNIDADE</w:t>
            </w:r>
          </w:p>
        </w:tc>
        <w:tc>
          <w:tcPr>
            <w:tcW w:w="850" w:type="dxa"/>
            <w:tcBorders>
              <w:top w:val="single" w:color="000000" w:sz="4" w:space="0"/>
              <w:left w:val="nil"/>
              <w:bottom w:val="single" w:color="000000" w:sz="4" w:space="0"/>
              <w:right w:val="single" w:color="000000" w:sz="4" w:space="0"/>
            </w:tcBorders>
            <w:shd w:val="clear" w:color="auto" w:fill="F0F0F0"/>
            <w:vAlign w:val="center"/>
          </w:tcPr>
          <w:p w14:paraId="272F38FB">
            <w:pPr>
              <w:spacing w:line="240" w:lineRule="auto"/>
              <w:jc w:val="center"/>
              <w:rPr>
                <w:b/>
                <w:i/>
                <w:color w:val="000000"/>
                <w:sz w:val="20"/>
                <w:szCs w:val="20"/>
              </w:rPr>
            </w:pPr>
            <w:r>
              <w:rPr>
                <w:b/>
                <w:i/>
                <w:color w:val="000000"/>
                <w:sz w:val="20"/>
                <w:szCs w:val="20"/>
              </w:rPr>
              <w:t>QTD.</w:t>
            </w:r>
          </w:p>
        </w:tc>
      </w:tr>
      <w:tr w14:paraId="5AFD9D78">
        <w:tblPrEx>
          <w:tblCellMar>
            <w:top w:w="0" w:type="dxa"/>
            <w:left w:w="70" w:type="dxa"/>
            <w:bottom w:w="0" w:type="dxa"/>
            <w:right w:w="70" w:type="dxa"/>
          </w:tblCellMar>
        </w:tblPrEx>
        <w:trPr>
          <w:trHeight w:val="600" w:hRule="atLeast"/>
        </w:trPr>
        <w:tc>
          <w:tcPr>
            <w:tcW w:w="846" w:type="dxa"/>
            <w:tcBorders>
              <w:top w:val="nil"/>
              <w:left w:val="single" w:color="000000" w:sz="4" w:space="0"/>
              <w:bottom w:val="single" w:color="000000" w:sz="4" w:space="0"/>
              <w:right w:val="single" w:color="000000" w:sz="4" w:space="0"/>
            </w:tcBorders>
            <w:vAlign w:val="center"/>
          </w:tcPr>
          <w:p w14:paraId="60168644">
            <w:pPr>
              <w:spacing w:line="240" w:lineRule="auto"/>
              <w:jc w:val="center"/>
              <w:rPr>
                <w:color w:val="000000"/>
                <w:sz w:val="20"/>
                <w:szCs w:val="20"/>
              </w:rPr>
            </w:pPr>
            <w:r>
              <w:rPr>
                <w:color w:val="000000"/>
                <w:sz w:val="20"/>
                <w:szCs w:val="20"/>
              </w:rPr>
              <w:t>1</w:t>
            </w:r>
          </w:p>
        </w:tc>
        <w:tc>
          <w:tcPr>
            <w:tcW w:w="6095" w:type="dxa"/>
            <w:tcBorders>
              <w:top w:val="nil"/>
              <w:left w:val="nil"/>
              <w:bottom w:val="single" w:color="000000" w:sz="4" w:space="0"/>
              <w:right w:val="single" w:color="000000" w:sz="4" w:space="0"/>
            </w:tcBorders>
            <w:vAlign w:val="bottom"/>
          </w:tcPr>
          <w:p w14:paraId="5B29D5C3">
            <w:pPr>
              <w:spacing w:line="240" w:lineRule="auto"/>
              <w:jc w:val="both"/>
              <w:rPr>
                <w:color w:val="000000"/>
                <w:sz w:val="20"/>
                <w:szCs w:val="20"/>
              </w:rPr>
            </w:pPr>
            <w:r>
              <w:rPr>
                <w:color w:val="000000"/>
                <w:sz w:val="20"/>
                <w:szCs w:val="20"/>
              </w:rPr>
              <w:t>Operacionalização e gerenciamento de solução de fiscalização eletrônica de trânsito de avanço de sinal vermelho e parada sobre faixa de travessia de pedestres - não intrusivo</w:t>
            </w:r>
          </w:p>
        </w:tc>
        <w:tc>
          <w:tcPr>
            <w:tcW w:w="1418" w:type="dxa"/>
            <w:tcBorders>
              <w:top w:val="nil"/>
              <w:left w:val="nil"/>
              <w:bottom w:val="single" w:color="000000" w:sz="4" w:space="0"/>
              <w:right w:val="single" w:color="000000" w:sz="4" w:space="0"/>
            </w:tcBorders>
            <w:vAlign w:val="center"/>
          </w:tcPr>
          <w:p w14:paraId="6EFA8BBA">
            <w:pPr>
              <w:spacing w:line="240" w:lineRule="auto"/>
              <w:jc w:val="center"/>
              <w:rPr>
                <w:color w:val="000000"/>
                <w:sz w:val="20"/>
                <w:szCs w:val="20"/>
              </w:rPr>
            </w:pPr>
            <w:r>
              <w:rPr>
                <w:color w:val="000000"/>
                <w:sz w:val="20"/>
                <w:szCs w:val="20"/>
              </w:rPr>
              <w:t>Faixa x mês</w:t>
            </w:r>
          </w:p>
        </w:tc>
        <w:tc>
          <w:tcPr>
            <w:tcW w:w="850" w:type="dxa"/>
            <w:tcBorders>
              <w:top w:val="nil"/>
              <w:left w:val="nil"/>
              <w:bottom w:val="single" w:color="000000" w:sz="4" w:space="0"/>
              <w:right w:val="single" w:color="000000" w:sz="4" w:space="0"/>
            </w:tcBorders>
            <w:vAlign w:val="center"/>
          </w:tcPr>
          <w:p w14:paraId="1CCF625F">
            <w:pPr>
              <w:spacing w:line="240" w:lineRule="auto"/>
              <w:jc w:val="center"/>
              <w:rPr>
                <w:color w:val="000000"/>
                <w:sz w:val="20"/>
                <w:szCs w:val="20"/>
              </w:rPr>
            </w:pPr>
            <w:r>
              <w:rPr>
                <w:color w:val="000000"/>
                <w:sz w:val="20"/>
                <w:szCs w:val="20"/>
              </w:rPr>
              <w:t>46</w:t>
            </w:r>
          </w:p>
        </w:tc>
      </w:tr>
      <w:tr w14:paraId="5A3C73E7">
        <w:tblPrEx>
          <w:tblCellMar>
            <w:top w:w="0" w:type="dxa"/>
            <w:left w:w="70" w:type="dxa"/>
            <w:bottom w:w="0" w:type="dxa"/>
            <w:right w:w="70" w:type="dxa"/>
          </w:tblCellMar>
        </w:tblPrEx>
        <w:trPr>
          <w:trHeight w:val="600" w:hRule="atLeast"/>
        </w:trPr>
        <w:tc>
          <w:tcPr>
            <w:tcW w:w="846" w:type="dxa"/>
            <w:tcBorders>
              <w:top w:val="nil"/>
              <w:left w:val="single" w:color="000000" w:sz="4" w:space="0"/>
              <w:bottom w:val="single" w:color="000000" w:sz="4" w:space="0"/>
              <w:right w:val="single" w:color="000000" w:sz="4" w:space="0"/>
            </w:tcBorders>
            <w:vAlign w:val="center"/>
          </w:tcPr>
          <w:p w14:paraId="4E8EDEF5">
            <w:pPr>
              <w:spacing w:line="240" w:lineRule="auto"/>
              <w:jc w:val="center"/>
              <w:rPr>
                <w:color w:val="000000"/>
                <w:sz w:val="20"/>
                <w:szCs w:val="20"/>
              </w:rPr>
            </w:pPr>
            <w:r>
              <w:rPr>
                <w:color w:val="000000"/>
                <w:sz w:val="20"/>
                <w:szCs w:val="20"/>
              </w:rPr>
              <w:t>2</w:t>
            </w:r>
          </w:p>
        </w:tc>
        <w:tc>
          <w:tcPr>
            <w:tcW w:w="6095" w:type="dxa"/>
            <w:tcBorders>
              <w:top w:val="nil"/>
              <w:left w:val="nil"/>
              <w:bottom w:val="single" w:color="000000" w:sz="4" w:space="0"/>
              <w:right w:val="single" w:color="000000" w:sz="4" w:space="0"/>
            </w:tcBorders>
            <w:vAlign w:val="bottom"/>
          </w:tcPr>
          <w:p w14:paraId="5A0C3917">
            <w:pPr>
              <w:spacing w:line="240" w:lineRule="auto"/>
              <w:jc w:val="both"/>
              <w:rPr>
                <w:color w:val="000000"/>
                <w:sz w:val="20"/>
                <w:szCs w:val="20"/>
              </w:rPr>
            </w:pPr>
            <w:r>
              <w:rPr>
                <w:color w:val="000000"/>
                <w:sz w:val="20"/>
                <w:szCs w:val="20"/>
              </w:rPr>
              <w:t>Operacionalização e gerenciamento de solução de fiscalização eletrônica de trânsito – radar de velocidade fixa com LAP - não intrusivo</w:t>
            </w:r>
          </w:p>
        </w:tc>
        <w:tc>
          <w:tcPr>
            <w:tcW w:w="1418" w:type="dxa"/>
            <w:tcBorders>
              <w:top w:val="nil"/>
              <w:left w:val="nil"/>
              <w:bottom w:val="single" w:color="000000" w:sz="4" w:space="0"/>
              <w:right w:val="single" w:color="000000" w:sz="4" w:space="0"/>
            </w:tcBorders>
            <w:shd w:val="clear" w:color="auto" w:fill="FFFFFF"/>
            <w:vAlign w:val="center"/>
          </w:tcPr>
          <w:p w14:paraId="21F70A43">
            <w:pPr>
              <w:spacing w:line="240" w:lineRule="auto"/>
              <w:jc w:val="center"/>
              <w:rPr>
                <w:color w:val="000000"/>
                <w:sz w:val="20"/>
                <w:szCs w:val="20"/>
              </w:rPr>
            </w:pPr>
            <w:r>
              <w:rPr>
                <w:color w:val="000000"/>
                <w:sz w:val="20"/>
                <w:szCs w:val="20"/>
              </w:rPr>
              <w:t>Faixa x mês</w:t>
            </w:r>
          </w:p>
        </w:tc>
        <w:tc>
          <w:tcPr>
            <w:tcW w:w="850" w:type="dxa"/>
            <w:tcBorders>
              <w:top w:val="nil"/>
              <w:left w:val="nil"/>
              <w:bottom w:val="single" w:color="000000" w:sz="4" w:space="0"/>
              <w:right w:val="single" w:color="000000" w:sz="4" w:space="0"/>
            </w:tcBorders>
            <w:shd w:val="clear" w:color="auto" w:fill="FFFFFF"/>
            <w:vAlign w:val="center"/>
          </w:tcPr>
          <w:p w14:paraId="1D517D31">
            <w:pPr>
              <w:spacing w:line="240" w:lineRule="auto"/>
              <w:jc w:val="center"/>
              <w:rPr>
                <w:color w:val="000000"/>
                <w:sz w:val="20"/>
                <w:szCs w:val="20"/>
              </w:rPr>
            </w:pPr>
            <w:r>
              <w:rPr>
                <w:color w:val="000000"/>
                <w:sz w:val="20"/>
                <w:szCs w:val="20"/>
              </w:rPr>
              <w:t>50</w:t>
            </w:r>
          </w:p>
        </w:tc>
      </w:tr>
      <w:tr w14:paraId="605ACA25">
        <w:tblPrEx>
          <w:tblCellMar>
            <w:top w:w="0" w:type="dxa"/>
            <w:left w:w="70" w:type="dxa"/>
            <w:bottom w:w="0" w:type="dxa"/>
            <w:right w:w="70" w:type="dxa"/>
          </w:tblCellMar>
        </w:tblPrEx>
        <w:trPr>
          <w:trHeight w:val="450" w:hRule="atLeast"/>
        </w:trPr>
        <w:tc>
          <w:tcPr>
            <w:tcW w:w="846" w:type="dxa"/>
            <w:tcBorders>
              <w:top w:val="nil"/>
              <w:left w:val="single" w:color="000000" w:sz="4" w:space="0"/>
              <w:bottom w:val="single" w:color="000000" w:sz="4" w:space="0"/>
              <w:right w:val="single" w:color="000000" w:sz="4" w:space="0"/>
            </w:tcBorders>
            <w:vAlign w:val="center"/>
          </w:tcPr>
          <w:p w14:paraId="2FB51226">
            <w:pPr>
              <w:spacing w:line="240" w:lineRule="auto"/>
              <w:jc w:val="center"/>
              <w:rPr>
                <w:color w:val="000000"/>
                <w:sz w:val="20"/>
                <w:szCs w:val="20"/>
              </w:rPr>
            </w:pPr>
            <w:r>
              <w:rPr>
                <w:color w:val="000000"/>
                <w:sz w:val="20"/>
                <w:szCs w:val="20"/>
              </w:rPr>
              <w:t>5</w:t>
            </w:r>
          </w:p>
        </w:tc>
        <w:tc>
          <w:tcPr>
            <w:tcW w:w="6095" w:type="dxa"/>
            <w:tcBorders>
              <w:top w:val="nil"/>
              <w:left w:val="nil"/>
              <w:bottom w:val="single" w:color="000000" w:sz="4" w:space="0"/>
              <w:right w:val="single" w:color="000000" w:sz="4" w:space="0"/>
            </w:tcBorders>
            <w:vAlign w:val="center"/>
          </w:tcPr>
          <w:p w14:paraId="5086138C">
            <w:pPr>
              <w:spacing w:line="240" w:lineRule="auto"/>
              <w:jc w:val="both"/>
              <w:rPr>
                <w:color w:val="000000"/>
                <w:sz w:val="20"/>
                <w:szCs w:val="20"/>
              </w:rPr>
            </w:pPr>
            <w:r>
              <w:rPr>
                <w:color w:val="000000"/>
                <w:sz w:val="20"/>
                <w:szCs w:val="20"/>
              </w:rPr>
              <w:t>Software para processamento as infrações e recursos de infrações, inclusive com apoio a JARI</w:t>
            </w:r>
          </w:p>
        </w:tc>
        <w:tc>
          <w:tcPr>
            <w:tcW w:w="1418" w:type="dxa"/>
            <w:tcBorders>
              <w:top w:val="nil"/>
              <w:left w:val="nil"/>
              <w:bottom w:val="single" w:color="000000" w:sz="4" w:space="0"/>
              <w:right w:val="single" w:color="000000" w:sz="4" w:space="0"/>
            </w:tcBorders>
            <w:vAlign w:val="center"/>
          </w:tcPr>
          <w:p w14:paraId="42A8B03C">
            <w:pPr>
              <w:spacing w:line="240" w:lineRule="auto"/>
              <w:jc w:val="center"/>
              <w:rPr>
                <w:color w:val="000000"/>
                <w:sz w:val="20"/>
                <w:szCs w:val="20"/>
              </w:rPr>
            </w:pPr>
            <w:r>
              <w:rPr>
                <w:color w:val="000000"/>
                <w:sz w:val="20"/>
                <w:szCs w:val="20"/>
              </w:rPr>
              <w:t>Conj x mês</w:t>
            </w:r>
          </w:p>
        </w:tc>
        <w:tc>
          <w:tcPr>
            <w:tcW w:w="850" w:type="dxa"/>
            <w:tcBorders>
              <w:top w:val="nil"/>
              <w:left w:val="nil"/>
              <w:bottom w:val="single" w:color="000000" w:sz="4" w:space="0"/>
              <w:right w:val="single" w:color="000000" w:sz="4" w:space="0"/>
            </w:tcBorders>
            <w:vAlign w:val="center"/>
          </w:tcPr>
          <w:p w14:paraId="5C7DC77C">
            <w:pPr>
              <w:spacing w:line="240" w:lineRule="auto"/>
              <w:jc w:val="center"/>
              <w:rPr>
                <w:color w:val="000000"/>
                <w:sz w:val="20"/>
                <w:szCs w:val="20"/>
              </w:rPr>
            </w:pPr>
            <w:r>
              <w:rPr>
                <w:color w:val="000000"/>
                <w:sz w:val="20"/>
                <w:szCs w:val="20"/>
              </w:rPr>
              <w:t>1</w:t>
            </w:r>
          </w:p>
        </w:tc>
      </w:tr>
    </w:tbl>
    <w:p w14:paraId="1609CF13">
      <w:p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EE0000"/>
        </w:rPr>
      </w:pPr>
    </w:p>
    <w:p w14:paraId="1159D962">
      <w:pPr>
        <w:jc w:val="both"/>
      </w:pPr>
      <w:r>
        <w:rPr>
          <w:b/>
          <w:bCs/>
        </w:rPr>
        <w:t>23.18.3.2.</w:t>
      </w:r>
      <w:r>
        <w:t xml:space="preserve"> Caso os serviços tenham sido executados em consórcio, a empresa proponente deverá indicar claramente o percentual de participação que coube à sua empresa no fornecimento e execução dos serviços contratados, de forma a evidenciar a sua capacidade técnica específica no cumprimento das atividades relacionadas ao objeto deste Termo de Referência.</w:t>
      </w:r>
    </w:p>
    <w:p w14:paraId="3EF53109">
      <w:pPr>
        <w:jc w:val="both"/>
      </w:pPr>
    </w:p>
    <w:p w14:paraId="5F66F518">
      <w:pPr>
        <w:rPr>
          <w:b/>
        </w:rPr>
      </w:pPr>
      <w:r>
        <w:rPr>
          <w:b/>
          <w:bCs/>
        </w:rPr>
        <w:t>23.18.4.</w:t>
      </w:r>
      <w:r>
        <w:t xml:space="preserve"> </w:t>
      </w:r>
      <w:r>
        <w:rPr>
          <w:b/>
        </w:rPr>
        <w:t xml:space="preserve">Comprovação de capacidade técnico-profissional </w:t>
      </w:r>
    </w:p>
    <w:p w14:paraId="0BD576DC">
      <w:pPr>
        <w:pStyle w:val="72"/>
        <w:ind w:left="600"/>
        <w:rPr>
          <w:b/>
        </w:rPr>
      </w:pPr>
    </w:p>
    <w:p w14:paraId="173D80EF">
      <w:pPr>
        <w:jc w:val="both"/>
      </w:pPr>
      <w:r>
        <w:rPr>
          <w:b/>
          <w:bCs/>
        </w:rPr>
        <w:t>23.18.4.1.</w:t>
      </w:r>
      <w:r>
        <w:t xml:space="preserve"> A PROPONENTE deverá apresentar a capacitação técnica da equipe que será responsável pela implantação dos serviços descritos neste Termo de Referência, por meio da apresentação de Currículos, Certificados de Acervo Técnico (CAT) e Anotações de Responsabilidade Técnica (ART), contendo a seguinte experiência mínima:</w:t>
      </w:r>
    </w:p>
    <w:p w14:paraId="2D880E58">
      <w:pPr>
        <w:jc w:val="both"/>
      </w:pPr>
    </w:p>
    <w:tbl>
      <w:tblPr>
        <w:tblStyle w:val="146"/>
        <w:tblW w:w="9209" w:type="dxa"/>
        <w:tblInd w:w="0" w:type="dxa"/>
        <w:tblLayout w:type="fixed"/>
        <w:tblCellMar>
          <w:top w:w="0" w:type="dxa"/>
          <w:left w:w="70" w:type="dxa"/>
          <w:bottom w:w="0" w:type="dxa"/>
          <w:right w:w="70" w:type="dxa"/>
        </w:tblCellMar>
      </w:tblPr>
      <w:tblGrid>
        <w:gridCol w:w="846"/>
        <w:gridCol w:w="6804"/>
        <w:gridCol w:w="1559"/>
      </w:tblGrid>
      <w:tr w14:paraId="666B8828">
        <w:tblPrEx>
          <w:tblCellMar>
            <w:top w:w="0" w:type="dxa"/>
            <w:left w:w="70" w:type="dxa"/>
            <w:bottom w:w="0" w:type="dxa"/>
            <w:right w:w="70" w:type="dxa"/>
          </w:tblCellMar>
        </w:tblPrEx>
        <w:trPr>
          <w:trHeight w:val="315" w:hRule="atLeast"/>
        </w:trPr>
        <w:tc>
          <w:tcPr>
            <w:tcW w:w="846" w:type="dxa"/>
            <w:tcBorders>
              <w:top w:val="single" w:color="000000" w:sz="4" w:space="0"/>
              <w:left w:val="single" w:color="000000" w:sz="4" w:space="0"/>
              <w:bottom w:val="single" w:color="000000" w:sz="4" w:space="0"/>
              <w:right w:val="single" w:color="000000" w:sz="4" w:space="0"/>
            </w:tcBorders>
            <w:shd w:val="clear" w:color="auto" w:fill="F0F0F0"/>
            <w:vAlign w:val="center"/>
          </w:tcPr>
          <w:p w14:paraId="579AFE50">
            <w:pPr>
              <w:spacing w:line="240" w:lineRule="auto"/>
              <w:jc w:val="center"/>
              <w:rPr>
                <w:b/>
                <w:i/>
                <w:color w:val="000000"/>
                <w:sz w:val="20"/>
                <w:szCs w:val="20"/>
              </w:rPr>
            </w:pPr>
            <w:r>
              <w:rPr>
                <w:b/>
                <w:i/>
                <w:color w:val="000000"/>
                <w:sz w:val="20"/>
                <w:szCs w:val="20"/>
              </w:rPr>
              <w:t>ITEM</w:t>
            </w:r>
          </w:p>
        </w:tc>
        <w:tc>
          <w:tcPr>
            <w:tcW w:w="6804" w:type="dxa"/>
            <w:tcBorders>
              <w:top w:val="single" w:color="000000" w:sz="4" w:space="0"/>
              <w:left w:val="nil"/>
              <w:bottom w:val="single" w:color="000000" w:sz="4" w:space="0"/>
              <w:right w:val="single" w:color="000000" w:sz="4" w:space="0"/>
            </w:tcBorders>
            <w:shd w:val="clear" w:color="auto" w:fill="F0F0F0"/>
            <w:vAlign w:val="center"/>
          </w:tcPr>
          <w:p w14:paraId="701B33AD">
            <w:pPr>
              <w:spacing w:line="240" w:lineRule="auto"/>
              <w:jc w:val="center"/>
              <w:rPr>
                <w:b/>
                <w:color w:val="000000"/>
                <w:sz w:val="20"/>
                <w:szCs w:val="20"/>
              </w:rPr>
            </w:pPr>
            <w:r>
              <w:rPr>
                <w:b/>
                <w:color w:val="000000"/>
                <w:sz w:val="20"/>
                <w:szCs w:val="20"/>
              </w:rPr>
              <w:t>DESCRIÇÃO</w:t>
            </w:r>
          </w:p>
        </w:tc>
        <w:tc>
          <w:tcPr>
            <w:tcW w:w="1559" w:type="dxa"/>
            <w:tcBorders>
              <w:top w:val="single" w:color="000000" w:sz="4" w:space="0"/>
              <w:left w:val="nil"/>
              <w:bottom w:val="single" w:color="000000" w:sz="4" w:space="0"/>
              <w:right w:val="single" w:color="000000" w:sz="4" w:space="0"/>
            </w:tcBorders>
            <w:shd w:val="clear" w:color="auto" w:fill="F0F0F0"/>
            <w:vAlign w:val="center"/>
          </w:tcPr>
          <w:p w14:paraId="5E9A7446">
            <w:pPr>
              <w:spacing w:line="240" w:lineRule="auto"/>
              <w:jc w:val="center"/>
              <w:rPr>
                <w:b/>
                <w:i/>
                <w:color w:val="000000"/>
                <w:sz w:val="20"/>
                <w:szCs w:val="20"/>
              </w:rPr>
            </w:pPr>
            <w:r>
              <w:rPr>
                <w:b/>
                <w:i/>
                <w:color w:val="000000"/>
                <w:sz w:val="20"/>
                <w:szCs w:val="20"/>
              </w:rPr>
              <w:t>UNIDADE</w:t>
            </w:r>
          </w:p>
        </w:tc>
      </w:tr>
      <w:tr w14:paraId="73DD687F">
        <w:tblPrEx>
          <w:tblCellMar>
            <w:top w:w="0" w:type="dxa"/>
            <w:left w:w="70" w:type="dxa"/>
            <w:bottom w:w="0" w:type="dxa"/>
            <w:right w:w="70" w:type="dxa"/>
          </w:tblCellMar>
        </w:tblPrEx>
        <w:trPr>
          <w:trHeight w:val="600" w:hRule="atLeast"/>
        </w:trPr>
        <w:tc>
          <w:tcPr>
            <w:tcW w:w="846" w:type="dxa"/>
            <w:tcBorders>
              <w:top w:val="nil"/>
              <w:left w:val="single" w:color="000000" w:sz="4" w:space="0"/>
              <w:bottom w:val="single" w:color="000000" w:sz="4" w:space="0"/>
              <w:right w:val="single" w:color="000000" w:sz="4" w:space="0"/>
            </w:tcBorders>
            <w:vAlign w:val="center"/>
          </w:tcPr>
          <w:p w14:paraId="4653417E">
            <w:pPr>
              <w:spacing w:line="240" w:lineRule="auto"/>
              <w:jc w:val="center"/>
              <w:rPr>
                <w:color w:val="000000"/>
                <w:sz w:val="20"/>
                <w:szCs w:val="20"/>
              </w:rPr>
            </w:pPr>
            <w:r>
              <w:rPr>
                <w:color w:val="000000"/>
                <w:sz w:val="20"/>
                <w:szCs w:val="20"/>
              </w:rPr>
              <w:t>1</w:t>
            </w:r>
          </w:p>
        </w:tc>
        <w:tc>
          <w:tcPr>
            <w:tcW w:w="6804" w:type="dxa"/>
            <w:tcBorders>
              <w:top w:val="nil"/>
              <w:left w:val="nil"/>
              <w:bottom w:val="single" w:color="000000" w:sz="4" w:space="0"/>
              <w:right w:val="single" w:color="000000" w:sz="4" w:space="0"/>
            </w:tcBorders>
            <w:vAlign w:val="bottom"/>
          </w:tcPr>
          <w:p w14:paraId="03046C3F">
            <w:pPr>
              <w:spacing w:line="240" w:lineRule="auto"/>
              <w:jc w:val="both"/>
              <w:rPr>
                <w:color w:val="000000"/>
                <w:sz w:val="20"/>
                <w:szCs w:val="20"/>
              </w:rPr>
            </w:pPr>
            <w:r>
              <w:rPr>
                <w:color w:val="000000"/>
                <w:sz w:val="20"/>
                <w:szCs w:val="20"/>
              </w:rPr>
              <w:t>Operacionalização e gerenciamento de solução de fiscalização eletrônica de trânsito de avanço de sinal vermelho e parada sobre faixa de travessia de pedestres – não intrusivo.</w:t>
            </w:r>
          </w:p>
        </w:tc>
        <w:tc>
          <w:tcPr>
            <w:tcW w:w="1559" w:type="dxa"/>
            <w:tcBorders>
              <w:top w:val="nil"/>
              <w:left w:val="nil"/>
              <w:bottom w:val="single" w:color="000000" w:sz="4" w:space="0"/>
              <w:right w:val="single" w:color="000000" w:sz="4" w:space="0"/>
            </w:tcBorders>
            <w:vAlign w:val="center"/>
          </w:tcPr>
          <w:p w14:paraId="5BB96ED2">
            <w:pPr>
              <w:spacing w:line="240" w:lineRule="auto"/>
              <w:jc w:val="center"/>
              <w:rPr>
                <w:color w:val="000000"/>
                <w:sz w:val="20"/>
                <w:szCs w:val="20"/>
              </w:rPr>
            </w:pPr>
            <w:r>
              <w:rPr>
                <w:color w:val="000000"/>
                <w:sz w:val="20"/>
                <w:szCs w:val="20"/>
              </w:rPr>
              <w:t>Faixa x mês</w:t>
            </w:r>
          </w:p>
        </w:tc>
      </w:tr>
      <w:tr w14:paraId="7ED7802F">
        <w:tblPrEx>
          <w:tblCellMar>
            <w:top w:w="0" w:type="dxa"/>
            <w:left w:w="70" w:type="dxa"/>
            <w:bottom w:w="0" w:type="dxa"/>
            <w:right w:w="70" w:type="dxa"/>
          </w:tblCellMar>
        </w:tblPrEx>
        <w:trPr>
          <w:trHeight w:val="600" w:hRule="atLeast"/>
        </w:trPr>
        <w:tc>
          <w:tcPr>
            <w:tcW w:w="846" w:type="dxa"/>
            <w:tcBorders>
              <w:top w:val="nil"/>
              <w:left w:val="single" w:color="000000" w:sz="4" w:space="0"/>
              <w:bottom w:val="single" w:color="000000" w:sz="4" w:space="0"/>
              <w:right w:val="single" w:color="000000" w:sz="4" w:space="0"/>
            </w:tcBorders>
            <w:vAlign w:val="center"/>
          </w:tcPr>
          <w:p w14:paraId="0FFECACC">
            <w:pPr>
              <w:spacing w:line="240" w:lineRule="auto"/>
              <w:jc w:val="center"/>
              <w:rPr>
                <w:color w:val="000000"/>
                <w:sz w:val="20"/>
                <w:szCs w:val="20"/>
              </w:rPr>
            </w:pPr>
            <w:r>
              <w:rPr>
                <w:color w:val="000000"/>
                <w:sz w:val="20"/>
                <w:szCs w:val="20"/>
              </w:rPr>
              <w:t>2</w:t>
            </w:r>
          </w:p>
        </w:tc>
        <w:tc>
          <w:tcPr>
            <w:tcW w:w="6804" w:type="dxa"/>
            <w:tcBorders>
              <w:top w:val="nil"/>
              <w:left w:val="nil"/>
              <w:bottom w:val="single" w:color="000000" w:sz="4" w:space="0"/>
              <w:right w:val="single" w:color="000000" w:sz="4" w:space="0"/>
            </w:tcBorders>
            <w:vAlign w:val="bottom"/>
          </w:tcPr>
          <w:p w14:paraId="3CB6B4EC">
            <w:pPr>
              <w:spacing w:line="240" w:lineRule="auto"/>
              <w:jc w:val="both"/>
              <w:rPr>
                <w:color w:val="000000"/>
                <w:sz w:val="20"/>
                <w:szCs w:val="20"/>
              </w:rPr>
            </w:pPr>
            <w:r>
              <w:rPr>
                <w:color w:val="000000"/>
                <w:sz w:val="20"/>
                <w:szCs w:val="20"/>
              </w:rPr>
              <w:t>Operacionalização e gerenciamento de solução de fiscalização eletrônica de trânsito – radar de velocidade fixa com LAP – não intrusivo</w:t>
            </w:r>
          </w:p>
        </w:tc>
        <w:tc>
          <w:tcPr>
            <w:tcW w:w="1559" w:type="dxa"/>
            <w:tcBorders>
              <w:top w:val="nil"/>
              <w:left w:val="nil"/>
              <w:bottom w:val="single" w:color="000000" w:sz="4" w:space="0"/>
              <w:right w:val="single" w:color="000000" w:sz="4" w:space="0"/>
            </w:tcBorders>
            <w:shd w:val="clear" w:color="auto" w:fill="FFFFFF"/>
            <w:vAlign w:val="center"/>
          </w:tcPr>
          <w:p w14:paraId="4847A025">
            <w:pPr>
              <w:spacing w:line="240" w:lineRule="auto"/>
              <w:jc w:val="center"/>
              <w:rPr>
                <w:color w:val="000000"/>
                <w:sz w:val="20"/>
                <w:szCs w:val="20"/>
              </w:rPr>
            </w:pPr>
            <w:r>
              <w:rPr>
                <w:color w:val="000000"/>
                <w:sz w:val="20"/>
                <w:szCs w:val="20"/>
              </w:rPr>
              <w:t>Faixa x mês</w:t>
            </w:r>
          </w:p>
        </w:tc>
      </w:tr>
      <w:tr w14:paraId="178ECCC4">
        <w:tblPrEx>
          <w:tblCellMar>
            <w:top w:w="0" w:type="dxa"/>
            <w:left w:w="70" w:type="dxa"/>
            <w:bottom w:w="0" w:type="dxa"/>
            <w:right w:w="70" w:type="dxa"/>
          </w:tblCellMar>
        </w:tblPrEx>
        <w:trPr>
          <w:trHeight w:val="450" w:hRule="atLeast"/>
        </w:trPr>
        <w:tc>
          <w:tcPr>
            <w:tcW w:w="846" w:type="dxa"/>
            <w:tcBorders>
              <w:top w:val="nil"/>
              <w:left w:val="single" w:color="000000" w:sz="4" w:space="0"/>
              <w:bottom w:val="single" w:color="000000" w:sz="4" w:space="0"/>
              <w:right w:val="single" w:color="000000" w:sz="4" w:space="0"/>
            </w:tcBorders>
            <w:vAlign w:val="center"/>
          </w:tcPr>
          <w:p w14:paraId="3B22136E">
            <w:pPr>
              <w:spacing w:line="240" w:lineRule="auto"/>
              <w:jc w:val="center"/>
              <w:rPr>
                <w:color w:val="000000"/>
                <w:sz w:val="20"/>
                <w:szCs w:val="20"/>
              </w:rPr>
            </w:pPr>
            <w:r>
              <w:rPr>
                <w:color w:val="000000"/>
                <w:sz w:val="20"/>
                <w:szCs w:val="20"/>
              </w:rPr>
              <w:t>5</w:t>
            </w:r>
          </w:p>
        </w:tc>
        <w:tc>
          <w:tcPr>
            <w:tcW w:w="6804" w:type="dxa"/>
            <w:tcBorders>
              <w:top w:val="nil"/>
              <w:left w:val="nil"/>
              <w:bottom w:val="single" w:color="000000" w:sz="4" w:space="0"/>
              <w:right w:val="single" w:color="000000" w:sz="4" w:space="0"/>
            </w:tcBorders>
            <w:vAlign w:val="center"/>
          </w:tcPr>
          <w:p w14:paraId="25503084">
            <w:pPr>
              <w:spacing w:line="240" w:lineRule="auto"/>
              <w:jc w:val="both"/>
              <w:rPr>
                <w:color w:val="000000"/>
                <w:sz w:val="20"/>
                <w:szCs w:val="20"/>
              </w:rPr>
            </w:pPr>
            <w:r>
              <w:rPr>
                <w:color w:val="000000"/>
                <w:sz w:val="20"/>
                <w:szCs w:val="20"/>
              </w:rPr>
              <w:t>Software para processamento as infrações e recursos de infrações, inclusive com apoio a JARI</w:t>
            </w:r>
          </w:p>
        </w:tc>
        <w:tc>
          <w:tcPr>
            <w:tcW w:w="1559" w:type="dxa"/>
            <w:tcBorders>
              <w:top w:val="nil"/>
              <w:left w:val="nil"/>
              <w:bottom w:val="single" w:color="000000" w:sz="4" w:space="0"/>
              <w:right w:val="single" w:color="000000" w:sz="4" w:space="0"/>
            </w:tcBorders>
            <w:vAlign w:val="center"/>
          </w:tcPr>
          <w:p w14:paraId="1061EB5B">
            <w:pPr>
              <w:spacing w:line="240" w:lineRule="auto"/>
              <w:jc w:val="center"/>
              <w:rPr>
                <w:color w:val="000000"/>
                <w:sz w:val="20"/>
                <w:szCs w:val="20"/>
              </w:rPr>
            </w:pPr>
            <w:r>
              <w:rPr>
                <w:color w:val="000000"/>
                <w:sz w:val="20"/>
                <w:szCs w:val="20"/>
              </w:rPr>
              <w:t>Conj x mês</w:t>
            </w:r>
          </w:p>
        </w:tc>
      </w:tr>
    </w:tbl>
    <w:p w14:paraId="5C523259">
      <w:p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rPr>
          <w:color w:val="EE0000"/>
        </w:rPr>
      </w:pPr>
    </w:p>
    <w:p w14:paraId="5862748B">
      <w:pPr>
        <w:spacing w:line="360" w:lineRule="auto"/>
        <w:jc w:val="both"/>
      </w:pPr>
      <w:r>
        <w:rPr>
          <w:b/>
          <w:bCs/>
        </w:rPr>
        <w:t>23.18.4.2.</w:t>
      </w:r>
      <w:r>
        <w:t xml:space="preserve"> A documentação apresentada deverá ser clara e detalhada, comprovando a formação e a experiência específica dos profissionais, de modo a assegurar que a equipe responsável tenha a competência necessária para a execução do serviço com qualidade e eficiência.</w:t>
      </w:r>
    </w:p>
    <w:p w14:paraId="33B60431">
      <w:pPr>
        <w:rPr>
          <w:b/>
          <w:color w:val="000000"/>
        </w:rPr>
      </w:pPr>
    </w:p>
    <w:p w14:paraId="64EB4E73">
      <w:pPr>
        <w:pStyle w:val="72"/>
        <w:numPr>
          <w:ilvl w:val="1"/>
          <w:numId w:val="25"/>
        </w:numPr>
        <w:rPr>
          <w:b/>
          <w:color w:val="000000"/>
        </w:rPr>
      </w:pPr>
      <w:r>
        <w:rPr>
          <w:b/>
          <w:color w:val="000000"/>
        </w:rPr>
        <w:t>LAUDOS TÉCNICOS</w:t>
      </w:r>
    </w:p>
    <w:p w14:paraId="322D85FE">
      <w:pPr>
        <w:rPr>
          <w:b/>
          <w:sz w:val="24"/>
          <w:szCs w:val="24"/>
        </w:rPr>
      </w:pPr>
    </w:p>
    <w:p w14:paraId="177A308D">
      <w:pPr>
        <w:jc w:val="both"/>
      </w:pPr>
      <w:r>
        <w:t>O Fornecedor deverá apresentar, juntamente com sua proposta de preços, laudo conclusivo de testes funcionais emitido por laboratório que possua ensaios acreditados pelo INMETRO, com o objetivo de comprovar a conformidade dos equipamentos com os requisitos estabelecidos na Norma Brasileira NBR aplicável.</w:t>
      </w:r>
    </w:p>
    <w:p w14:paraId="578FFFEB">
      <w:pPr>
        <w:jc w:val="both"/>
      </w:pPr>
    </w:p>
    <w:p w14:paraId="1B456EF0">
      <w:pPr>
        <w:pStyle w:val="72"/>
        <w:numPr>
          <w:ilvl w:val="0"/>
          <w:numId w:val="25"/>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outlineLvl w:val="1"/>
        <w:rPr>
          <w:b/>
        </w:rPr>
      </w:pPr>
      <w:r>
        <w:rPr>
          <w:b/>
        </w:rPr>
        <w:t>PROPOSTA COMERCIAL</w:t>
      </w:r>
    </w:p>
    <w:p w14:paraId="10A8C9C2">
      <w:pPr>
        <w:jc w:val="both"/>
      </w:pPr>
    </w:p>
    <w:p w14:paraId="51BDA5D5">
      <w:pPr>
        <w:jc w:val="both"/>
      </w:pPr>
      <w:r>
        <w:t>24.1. A proposta comercial deverá ser apresentada em arquivo específico, detalhando de forma minuciosa todas as condições comerciais ofertadas, incluindo: preços, taxas e impostos incidentes, garantias contratuais, condições de pagamento, prazos de validade, encargos sociais e obrigações trabalhistas, materiais, equipamentos, seguros, administração, transporte e alimentação, bem como bonificações, encargos fiscais e parafiscais, e todas as despesas diretas e indiretas.</w:t>
      </w:r>
    </w:p>
    <w:p w14:paraId="33ADABB7">
      <w:pPr>
        <w:jc w:val="both"/>
      </w:pPr>
    </w:p>
    <w:p w14:paraId="6D25BECE">
      <w:pPr>
        <w:jc w:val="both"/>
      </w:pPr>
      <w:r>
        <w:t>24.2. Os preços deverão ser informados em valores unitários e totais por serviço, equipamento e materiais, bem como o valor global da proposta, expressos em Reais (R$), com destaque para os impostos e taxas incidentes e suas respectivas alíquotas.</w:t>
      </w:r>
    </w:p>
    <w:p w14:paraId="50128D4D">
      <w:pPr>
        <w:jc w:val="both"/>
      </w:pPr>
    </w:p>
    <w:p w14:paraId="4B68ABC3">
      <w:pPr>
        <w:jc w:val="both"/>
      </w:pPr>
      <w:r>
        <w:t>24.3. A PROPONENTE deverá considerar, em seus custos, os riscos relacionados a seguros de responsabilidade civil geral e cruzada para terceiros, seguros de engenharia e seguros de performance.</w:t>
      </w:r>
    </w:p>
    <w:p w14:paraId="34465A45">
      <w:pPr>
        <w:jc w:val="both"/>
      </w:pPr>
    </w:p>
    <w:p w14:paraId="4BAAADCD">
      <w:pPr>
        <w:jc w:val="both"/>
      </w:pPr>
      <w:r>
        <w:t>24.4. A proposta comercial deverá apresentar os valores correspondentes a cada um dos escopos descritos neste Termo de Referência.</w:t>
      </w:r>
    </w:p>
    <w:p w14:paraId="6DDA6BFC">
      <w:pPr>
        <w:pStyle w:val="72"/>
        <w:ind w:left="600"/>
      </w:pPr>
    </w:p>
    <w:p w14:paraId="6F6D8C91">
      <w:pPr>
        <w:pStyle w:val="72"/>
        <w:numPr>
          <w:ilvl w:val="0"/>
          <w:numId w:val="25"/>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outlineLvl w:val="1"/>
        <w:rPr>
          <w:b/>
        </w:rPr>
      </w:pPr>
      <w:r>
        <w:rPr>
          <w:b/>
        </w:rPr>
        <w:t>EXECUÇÃO DOS SERVIÇOS</w:t>
      </w:r>
    </w:p>
    <w:p w14:paraId="58B697C7">
      <w:pPr>
        <w:pStyle w:val="72"/>
        <w:ind w:left="600"/>
        <w:jc w:val="both"/>
      </w:pPr>
      <w:r>
        <w:t>Os serviços serão executados de acordo com as condições e especificações estabelecidas neste Termo de Referência.</w:t>
      </w:r>
    </w:p>
    <w:p w14:paraId="6FE985EE">
      <w:pPr>
        <w:pStyle w:val="72"/>
        <w:ind w:left="600"/>
      </w:pPr>
    </w:p>
    <w:p w14:paraId="6CC3F717">
      <w:pPr>
        <w:pStyle w:val="72"/>
        <w:numPr>
          <w:ilvl w:val="0"/>
          <w:numId w:val="25"/>
        </w:numPr>
        <w:pBdr>
          <w:top w:val="none" w:color="auto" w:sz="0" w:space="0"/>
          <w:left w:val="none" w:color="auto" w:sz="0" w:space="0"/>
          <w:bottom w:val="none" w:color="auto" w:sz="0" w:space="0"/>
          <w:right w:val="none" w:color="auto" w:sz="0" w:space="0"/>
          <w:between w:val="none" w:color="auto" w:sz="0" w:space="0"/>
        </w:pBdr>
        <w:spacing w:before="228" w:line="230" w:lineRule="auto"/>
        <w:ind w:right="2"/>
        <w:jc w:val="both"/>
        <w:outlineLvl w:val="1"/>
        <w:rPr>
          <w:b/>
        </w:rPr>
      </w:pPr>
      <w:r>
        <w:rPr>
          <w:b/>
        </w:rPr>
        <w:t>QUANTIDADE ESTIMADA</w:t>
      </w:r>
    </w:p>
    <w:tbl>
      <w:tblPr>
        <w:tblStyle w:val="147"/>
        <w:tblW w:w="9109" w:type="dxa"/>
        <w:tblInd w:w="-10" w:type="dxa"/>
        <w:tblLayout w:type="fixed"/>
        <w:tblCellMar>
          <w:top w:w="0" w:type="dxa"/>
          <w:left w:w="70" w:type="dxa"/>
          <w:bottom w:w="0" w:type="dxa"/>
          <w:right w:w="70" w:type="dxa"/>
        </w:tblCellMar>
      </w:tblPr>
      <w:tblGrid>
        <w:gridCol w:w="709"/>
        <w:gridCol w:w="5518"/>
        <w:gridCol w:w="1418"/>
        <w:gridCol w:w="1464"/>
      </w:tblGrid>
      <w:tr w14:paraId="023E4F9C">
        <w:tblPrEx>
          <w:tblCellMar>
            <w:top w:w="0" w:type="dxa"/>
            <w:left w:w="70" w:type="dxa"/>
            <w:bottom w:w="0" w:type="dxa"/>
            <w:right w:w="70" w:type="dxa"/>
          </w:tblCellMar>
        </w:tblPrEx>
        <w:trPr>
          <w:trHeight w:val="630" w:hRule="atLeast"/>
        </w:trPr>
        <w:tc>
          <w:tcPr>
            <w:tcW w:w="709" w:type="dxa"/>
            <w:tcBorders>
              <w:top w:val="single" w:color="000000" w:sz="8" w:space="0"/>
              <w:left w:val="single" w:color="000000" w:sz="8" w:space="0"/>
              <w:bottom w:val="nil"/>
              <w:right w:val="single" w:color="000000" w:sz="6" w:space="0"/>
            </w:tcBorders>
            <w:shd w:val="clear" w:color="auto" w:fill="3D85C6"/>
            <w:vAlign w:val="center"/>
          </w:tcPr>
          <w:p w14:paraId="3B962BD6">
            <w:pPr>
              <w:spacing w:line="240" w:lineRule="auto"/>
              <w:jc w:val="center"/>
              <w:rPr>
                <w:b/>
                <w:color w:val="FFFFFF"/>
              </w:rPr>
            </w:pPr>
            <w:r>
              <w:rPr>
                <w:b/>
                <w:color w:val="FFFFFF"/>
              </w:rPr>
              <w:t>Item</w:t>
            </w:r>
          </w:p>
        </w:tc>
        <w:tc>
          <w:tcPr>
            <w:tcW w:w="5518" w:type="dxa"/>
            <w:tcBorders>
              <w:top w:val="single" w:color="000000" w:sz="8" w:space="0"/>
              <w:left w:val="nil"/>
              <w:bottom w:val="nil"/>
              <w:right w:val="single" w:color="000000" w:sz="6" w:space="0"/>
            </w:tcBorders>
            <w:shd w:val="clear" w:color="auto" w:fill="3D85C6"/>
            <w:vAlign w:val="center"/>
          </w:tcPr>
          <w:p w14:paraId="0B1C8D35">
            <w:pPr>
              <w:spacing w:line="240" w:lineRule="auto"/>
              <w:jc w:val="center"/>
              <w:rPr>
                <w:b/>
                <w:color w:val="FFFFFF"/>
              </w:rPr>
            </w:pPr>
            <w:r>
              <w:rPr>
                <w:b/>
                <w:color w:val="FFFFFF"/>
              </w:rPr>
              <w:t>Descrição</w:t>
            </w:r>
          </w:p>
        </w:tc>
        <w:tc>
          <w:tcPr>
            <w:tcW w:w="1418" w:type="dxa"/>
            <w:tcBorders>
              <w:top w:val="single" w:color="000000" w:sz="8" w:space="0"/>
              <w:left w:val="nil"/>
              <w:bottom w:val="nil"/>
              <w:right w:val="single" w:color="000000" w:sz="6" w:space="0"/>
            </w:tcBorders>
            <w:shd w:val="clear" w:color="auto" w:fill="3D85C6"/>
            <w:vAlign w:val="center"/>
          </w:tcPr>
          <w:p w14:paraId="6161E346">
            <w:pPr>
              <w:spacing w:line="240" w:lineRule="auto"/>
              <w:jc w:val="center"/>
              <w:rPr>
                <w:b/>
                <w:color w:val="FFFFFF"/>
              </w:rPr>
            </w:pPr>
            <w:r>
              <w:rPr>
                <w:b/>
                <w:color w:val="FFFFFF"/>
              </w:rPr>
              <w:t>Unidade de medida</w:t>
            </w:r>
          </w:p>
        </w:tc>
        <w:tc>
          <w:tcPr>
            <w:tcW w:w="1464" w:type="dxa"/>
            <w:tcBorders>
              <w:top w:val="single" w:color="000000" w:sz="8" w:space="0"/>
              <w:left w:val="nil"/>
              <w:bottom w:val="nil"/>
              <w:right w:val="single" w:color="000000" w:sz="6" w:space="0"/>
            </w:tcBorders>
            <w:shd w:val="clear" w:color="auto" w:fill="3D85C6"/>
            <w:vAlign w:val="center"/>
          </w:tcPr>
          <w:p w14:paraId="0358D70A">
            <w:pPr>
              <w:spacing w:line="240" w:lineRule="auto"/>
              <w:jc w:val="center"/>
              <w:rPr>
                <w:b/>
                <w:color w:val="FFFFFF"/>
              </w:rPr>
            </w:pPr>
            <w:r>
              <w:rPr>
                <w:b/>
                <w:color w:val="FFFFFF"/>
              </w:rPr>
              <w:t>Quantidade</w:t>
            </w:r>
          </w:p>
        </w:tc>
      </w:tr>
      <w:tr w14:paraId="4BDD0B7D">
        <w:tblPrEx>
          <w:tblCellMar>
            <w:top w:w="0" w:type="dxa"/>
            <w:left w:w="70" w:type="dxa"/>
            <w:bottom w:w="0" w:type="dxa"/>
            <w:right w:w="70" w:type="dxa"/>
          </w:tblCellMar>
        </w:tblPrEx>
        <w:trPr>
          <w:trHeight w:val="300" w:hRule="atLeast"/>
        </w:trPr>
        <w:tc>
          <w:tcPr>
            <w:tcW w:w="709" w:type="dxa"/>
            <w:tcBorders>
              <w:top w:val="nil"/>
              <w:left w:val="single" w:color="000000" w:sz="8" w:space="0"/>
              <w:bottom w:val="single" w:color="000000" w:sz="4" w:space="0"/>
              <w:right w:val="single" w:color="000000" w:sz="4" w:space="0"/>
            </w:tcBorders>
            <w:shd w:val="clear" w:color="auto" w:fill="FFFFFF"/>
            <w:vAlign w:val="center"/>
          </w:tcPr>
          <w:p w14:paraId="2B80D742">
            <w:pPr>
              <w:spacing w:line="240" w:lineRule="auto"/>
              <w:jc w:val="center"/>
              <w:rPr>
                <w:color w:val="000000"/>
              </w:rPr>
            </w:pPr>
            <w:r>
              <w:rPr>
                <w:color w:val="000000"/>
              </w:rPr>
              <w:t>1</w:t>
            </w:r>
          </w:p>
        </w:tc>
        <w:tc>
          <w:tcPr>
            <w:tcW w:w="5518" w:type="dxa"/>
            <w:tcBorders>
              <w:top w:val="nil"/>
              <w:left w:val="nil"/>
              <w:bottom w:val="single" w:color="000000" w:sz="4" w:space="0"/>
              <w:right w:val="single" w:color="000000" w:sz="4" w:space="0"/>
            </w:tcBorders>
            <w:shd w:val="clear" w:color="auto" w:fill="FFFFFF"/>
            <w:vAlign w:val="center"/>
          </w:tcPr>
          <w:p w14:paraId="08CED2AD">
            <w:pPr>
              <w:spacing w:line="240" w:lineRule="auto"/>
              <w:rPr>
                <w:color w:val="000000"/>
              </w:rPr>
            </w:pPr>
            <w:r>
              <w:rPr>
                <w:color w:val="000000"/>
              </w:rPr>
              <w:t>Contratação de empresa especializada para operacionalização e gerenciamento de solução de fiscalização eletrônica de trânsito de avanço de sinal vermelho e parada sobre faixa de travessia de pedestres, através de prestação de serviços, incluso a instalação, operacionalização e a manutenção dos equipamentos, com sistemas de captação de imagens em vídeos atuando no período de 24 horas durante 07 dias por semana, pelo prazo de 12 (doze) meses, conforme especificações técnicas</w:t>
            </w:r>
          </w:p>
        </w:tc>
        <w:tc>
          <w:tcPr>
            <w:tcW w:w="1418" w:type="dxa"/>
            <w:tcBorders>
              <w:top w:val="nil"/>
              <w:left w:val="nil"/>
              <w:bottom w:val="single" w:color="000000" w:sz="4" w:space="0"/>
              <w:right w:val="single" w:color="000000" w:sz="4" w:space="0"/>
            </w:tcBorders>
            <w:shd w:val="clear" w:color="auto" w:fill="FFFFFF"/>
            <w:vAlign w:val="center"/>
          </w:tcPr>
          <w:p w14:paraId="0174FD36">
            <w:pPr>
              <w:spacing w:line="240" w:lineRule="auto"/>
              <w:jc w:val="center"/>
              <w:rPr>
                <w:color w:val="000000"/>
              </w:rPr>
            </w:pPr>
            <w:r>
              <w:rPr>
                <w:color w:val="000000"/>
              </w:rPr>
              <w:t>Faixa</w:t>
            </w:r>
          </w:p>
        </w:tc>
        <w:tc>
          <w:tcPr>
            <w:tcW w:w="1464" w:type="dxa"/>
            <w:tcBorders>
              <w:top w:val="nil"/>
              <w:left w:val="nil"/>
              <w:bottom w:val="single" w:color="000000" w:sz="4" w:space="0"/>
              <w:right w:val="single" w:color="000000" w:sz="4" w:space="0"/>
            </w:tcBorders>
            <w:shd w:val="clear" w:color="auto" w:fill="FFFFFF"/>
            <w:vAlign w:val="center"/>
          </w:tcPr>
          <w:p w14:paraId="0022A33D">
            <w:pPr>
              <w:spacing w:line="240" w:lineRule="auto"/>
              <w:jc w:val="center"/>
              <w:rPr>
                <w:color w:val="000000"/>
              </w:rPr>
            </w:pPr>
            <w:r>
              <w:rPr>
                <w:color w:val="000000"/>
              </w:rPr>
              <w:t>92</w:t>
            </w:r>
          </w:p>
        </w:tc>
      </w:tr>
      <w:tr w14:paraId="05391452">
        <w:tblPrEx>
          <w:tblCellMar>
            <w:top w:w="0" w:type="dxa"/>
            <w:left w:w="70" w:type="dxa"/>
            <w:bottom w:w="0" w:type="dxa"/>
            <w:right w:w="70" w:type="dxa"/>
          </w:tblCellMar>
        </w:tblPrEx>
        <w:trPr>
          <w:trHeight w:val="300" w:hRule="atLeast"/>
        </w:trPr>
        <w:tc>
          <w:tcPr>
            <w:tcW w:w="709" w:type="dxa"/>
            <w:tcBorders>
              <w:top w:val="nil"/>
              <w:left w:val="single" w:color="000000" w:sz="8" w:space="0"/>
              <w:bottom w:val="single" w:color="000000" w:sz="4" w:space="0"/>
              <w:right w:val="single" w:color="000000" w:sz="4" w:space="0"/>
            </w:tcBorders>
            <w:shd w:val="clear" w:color="auto" w:fill="FFFFFF"/>
            <w:vAlign w:val="center"/>
          </w:tcPr>
          <w:p w14:paraId="7A0EA5D1">
            <w:pPr>
              <w:spacing w:line="240" w:lineRule="auto"/>
              <w:jc w:val="center"/>
              <w:rPr>
                <w:color w:val="000000"/>
              </w:rPr>
            </w:pPr>
            <w:r>
              <w:rPr>
                <w:color w:val="000000"/>
              </w:rPr>
              <w:t>2</w:t>
            </w:r>
          </w:p>
        </w:tc>
        <w:tc>
          <w:tcPr>
            <w:tcW w:w="5518" w:type="dxa"/>
            <w:tcBorders>
              <w:top w:val="nil"/>
              <w:left w:val="nil"/>
              <w:bottom w:val="single" w:color="000000" w:sz="4" w:space="0"/>
              <w:right w:val="single" w:color="000000" w:sz="4" w:space="0"/>
            </w:tcBorders>
            <w:shd w:val="clear" w:color="auto" w:fill="FFFFFF"/>
            <w:vAlign w:val="center"/>
          </w:tcPr>
          <w:p w14:paraId="1EFC2A7B">
            <w:pPr>
              <w:spacing w:line="240" w:lineRule="auto"/>
              <w:rPr>
                <w:color w:val="000000"/>
              </w:rPr>
            </w:pPr>
            <w:r>
              <w:rPr>
                <w:color w:val="000000"/>
              </w:rPr>
              <w:t>Contratação de empresa especializada para operacionalização e gerenciamento de solução de fiscalização eletrônica de trânsito – radar de velocidade fixo com LAP, através de prestação de serviços, incluso a instalação, operacionalização e a manutenção dos equipamentos, pelo prazo de 12 (doze) meses, conforme especificações técnicas</w:t>
            </w:r>
          </w:p>
        </w:tc>
        <w:tc>
          <w:tcPr>
            <w:tcW w:w="1418" w:type="dxa"/>
            <w:tcBorders>
              <w:top w:val="nil"/>
              <w:left w:val="nil"/>
              <w:bottom w:val="single" w:color="000000" w:sz="4" w:space="0"/>
              <w:right w:val="single" w:color="000000" w:sz="4" w:space="0"/>
            </w:tcBorders>
            <w:shd w:val="clear" w:color="auto" w:fill="FFFFFF"/>
            <w:vAlign w:val="center"/>
          </w:tcPr>
          <w:p w14:paraId="4AF6655C">
            <w:pPr>
              <w:spacing w:line="240" w:lineRule="auto"/>
              <w:jc w:val="center"/>
              <w:rPr>
                <w:color w:val="000000"/>
              </w:rPr>
            </w:pPr>
            <w:r>
              <w:rPr>
                <w:color w:val="000000"/>
              </w:rPr>
              <w:t>Faixa</w:t>
            </w:r>
          </w:p>
        </w:tc>
        <w:tc>
          <w:tcPr>
            <w:tcW w:w="1464" w:type="dxa"/>
            <w:tcBorders>
              <w:top w:val="nil"/>
              <w:left w:val="nil"/>
              <w:bottom w:val="single" w:color="000000" w:sz="4" w:space="0"/>
              <w:right w:val="single" w:color="000000" w:sz="4" w:space="0"/>
            </w:tcBorders>
            <w:shd w:val="clear" w:color="auto" w:fill="FFFFFF"/>
            <w:vAlign w:val="center"/>
          </w:tcPr>
          <w:p w14:paraId="699B487F">
            <w:pPr>
              <w:spacing w:line="240" w:lineRule="auto"/>
              <w:jc w:val="center"/>
              <w:rPr>
                <w:color w:val="000000"/>
              </w:rPr>
            </w:pPr>
            <w:r>
              <w:rPr>
                <w:color w:val="000000"/>
              </w:rPr>
              <w:t>100</w:t>
            </w:r>
          </w:p>
        </w:tc>
      </w:tr>
      <w:tr w14:paraId="4DD0446E">
        <w:tblPrEx>
          <w:tblCellMar>
            <w:top w:w="0" w:type="dxa"/>
            <w:left w:w="70" w:type="dxa"/>
            <w:bottom w:w="0" w:type="dxa"/>
            <w:right w:w="70" w:type="dxa"/>
          </w:tblCellMar>
        </w:tblPrEx>
        <w:trPr>
          <w:trHeight w:val="300" w:hRule="atLeast"/>
        </w:trPr>
        <w:tc>
          <w:tcPr>
            <w:tcW w:w="709" w:type="dxa"/>
            <w:tcBorders>
              <w:top w:val="nil"/>
              <w:left w:val="single" w:color="000000" w:sz="8" w:space="0"/>
              <w:bottom w:val="single" w:color="000000" w:sz="4" w:space="0"/>
              <w:right w:val="single" w:color="000000" w:sz="4" w:space="0"/>
            </w:tcBorders>
            <w:shd w:val="clear" w:color="auto" w:fill="FFFFFF"/>
            <w:vAlign w:val="center"/>
          </w:tcPr>
          <w:p w14:paraId="79CD3BA4">
            <w:pPr>
              <w:spacing w:line="240" w:lineRule="auto"/>
              <w:jc w:val="center"/>
              <w:rPr>
                <w:color w:val="000000"/>
              </w:rPr>
            </w:pPr>
            <w:r>
              <w:rPr>
                <w:color w:val="000000"/>
              </w:rPr>
              <w:t>3</w:t>
            </w:r>
          </w:p>
        </w:tc>
        <w:tc>
          <w:tcPr>
            <w:tcW w:w="5518" w:type="dxa"/>
            <w:tcBorders>
              <w:top w:val="nil"/>
              <w:left w:val="nil"/>
              <w:bottom w:val="single" w:color="000000" w:sz="4" w:space="0"/>
              <w:right w:val="single" w:color="000000" w:sz="4" w:space="0"/>
            </w:tcBorders>
            <w:shd w:val="clear" w:color="auto" w:fill="FFFFFF"/>
            <w:vAlign w:val="center"/>
          </w:tcPr>
          <w:p w14:paraId="51760913">
            <w:pPr>
              <w:spacing w:line="240" w:lineRule="auto"/>
              <w:rPr>
                <w:color w:val="000000"/>
              </w:rPr>
            </w:pPr>
            <w:r>
              <w:rPr>
                <w:color w:val="000000"/>
              </w:rPr>
              <w:t>Fornecimento de sistema de controle e monitoramento de velocidade por meio de equipamento educativo não intrusivo, com comunicação de internet via cabeamento fibra óptica, equipado com câmera para leitura OCR, alimentado por energia elétrica convencional, a ser instalado em um ponto fixo, projetado sobre a via (coluna e braço projetado em aço galvanizado), conforme especificações técnicas</w:t>
            </w:r>
          </w:p>
        </w:tc>
        <w:tc>
          <w:tcPr>
            <w:tcW w:w="1418" w:type="dxa"/>
            <w:tcBorders>
              <w:top w:val="nil"/>
              <w:left w:val="nil"/>
              <w:bottom w:val="single" w:color="000000" w:sz="4" w:space="0"/>
              <w:right w:val="single" w:color="000000" w:sz="4" w:space="0"/>
            </w:tcBorders>
            <w:shd w:val="clear" w:color="auto" w:fill="FFFFFF"/>
            <w:vAlign w:val="center"/>
          </w:tcPr>
          <w:p w14:paraId="3846F98A">
            <w:pPr>
              <w:spacing w:line="240" w:lineRule="auto"/>
              <w:jc w:val="center"/>
              <w:rPr>
                <w:color w:val="000000"/>
              </w:rPr>
            </w:pPr>
            <w:r>
              <w:rPr>
                <w:color w:val="000000"/>
              </w:rPr>
              <w:t>Faixa</w:t>
            </w:r>
          </w:p>
        </w:tc>
        <w:tc>
          <w:tcPr>
            <w:tcW w:w="1464" w:type="dxa"/>
            <w:tcBorders>
              <w:top w:val="nil"/>
              <w:left w:val="nil"/>
              <w:bottom w:val="single" w:color="000000" w:sz="4" w:space="0"/>
              <w:right w:val="single" w:color="000000" w:sz="4" w:space="0"/>
            </w:tcBorders>
            <w:shd w:val="clear" w:color="auto" w:fill="FFFFFF"/>
            <w:vAlign w:val="center"/>
          </w:tcPr>
          <w:p w14:paraId="15E00298">
            <w:pPr>
              <w:spacing w:line="240" w:lineRule="auto"/>
              <w:jc w:val="center"/>
              <w:rPr>
                <w:color w:val="000000"/>
              </w:rPr>
            </w:pPr>
            <w:r>
              <w:rPr>
                <w:color w:val="000000"/>
              </w:rPr>
              <w:t>10</w:t>
            </w:r>
          </w:p>
        </w:tc>
      </w:tr>
      <w:tr w14:paraId="34AE5839">
        <w:tblPrEx>
          <w:tblCellMar>
            <w:top w:w="0" w:type="dxa"/>
            <w:left w:w="70" w:type="dxa"/>
            <w:bottom w:w="0" w:type="dxa"/>
            <w:right w:w="70" w:type="dxa"/>
          </w:tblCellMar>
        </w:tblPrEx>
        <w:trPr>
          <w:trHeight w:val="300" w:hRule="atLeast"/>
        </w:trPr>
        <w:tc>
          <w:tcPr>
            <w:tcW w:w="709" w:type="dxa"/>
            <w:tcBorders>
              <w:top w:val="nil"/>
              <w:left w:val="single" w:color="000000" w:sz="8" w:space="0"/>
              <w:bottom w:val="single" w:color="000000" w:sz="4" w:space="0"/>
              <w:right w:val="single" w:color="000000" w:sz="4" w:space="0"/>
            </w:tcBorders>
            <w:shd w:val="clear" w:color="auto" w:fill="FFFFFF"/>
            <w:vAlign w:val="center"/>
          </w:tcPr>
          <w:p w14:paraId="49DE072D">
            <w:pPr>
              <w:spacing w:line="240" w:lineRule="auto"/>
              <w:jc w:val="center"/>
              <w:rPr>
                <w:color w:val="000000"/>
              </w:rPr>
            </w:pPr>
            <w:r>
              <w:rPr>
                <w:color w:val="000000"/>
              </w:rPr>
              <w:t>4</w:t>
            </w:r>
          </w:p>
        </w:tc>
        <w:tc>
          <w:tcPr>
            <w:tcW w:w="5518" w:type="dxa"/>
            <w:tcBorders>
              <w:top w:val="nil"/>
              <w:left w:val="nil"/>
              <w:bottom w:val="single" w:color="000000" w:sz="4" w:space="0"/>
              <w:right w:val="single" w:color="000000" w:sz="4" w:space="0"/>
            </w:tcBorders>
            <w:shd w:val="clear" w:color="auto" w:fill="FFFFFF"/>
            <w:vAlign w:val="center"/>
          </w:tcPr>
          <w:p w14:paraId="65C633AB">
            <w:pPr>
              <w:spacing w:line="240" w:lineRule="auto"/>
              <w:rPr>
                <w:color w:val="000000"/>
              </w:rPr>
            </w:pPr>
            <w:r>
              <w:rPr>
                <w:color w:val="000000"/>
              </w:rPr>
              <w:t>Contratação de empresa especializada para operacionalização e gerenciamento de sistema de controle de zona máxima de restrição de veículos, através de prestação de serviços, incluso a instalação, operacionalização e a manutenção dos equipamentos, pelo prazo de 12 (doze) meses, conforme especificações técnicas</w:t>
            </w:r>
          </w:p>
        </w:tc>
        <w:tc>
          <w:tcPr>
            <w:tcW w:w="1418" w:type="dxa"/>
            <w:tcBorders>
              <w:top w:val="nil"/>
              <w:left w:val="nil"/>
              <w:bottom w:val="single" w:color="000000" w:sz="4" w:space="0"/>
              <w:right w:val="single" w:color="000000" w:sz="4" w:space="0"/>
            </w:tcBorders>
            <w:shd w:val="clear" w:color="auto" w:fill="FFFFFF"/>
            <w:vAlign w:val="center"/>
          </w:tcPr>
          <w:p w14:paraId="7FB91DA7">
            <w:pPr>
              <w:spacing w:line="240" w:lineRule="auto"/>
              <w:jc w:val="center"/>
              <w:rPr>
                <w:color w:val="000000"/>
              </w:rPr>
            </w:pPr>
            <w:r>
              <w:rPr>
                <w:color w:val="000000"/>
              </w:rPr>
              <w:t>Faixa</w:t>
            </w:r>
          </w:p>
        </w:tc>
        <w:tc>
          <w:tcPr>
            <w:tcW w:w="1464" w:type="dxa"/>
            <w:tcBorders>
              <w:top w:val="nil"/>
              <w:left w:val="nil"/>
              <w:bottom w:val="single" w:color="000000" w:sz="4" w:space="0"/>
              <w:right w:val="single" w:color="000000" w:sz="4" w:space="0"/>
            </w:tcBorders>
            <w:shd w:val="clear" w:color="auto" w:fill="FFFFFF"/>
            <w:vAlign w:val="center"/>
          </w:tcPr>
          <w:p w14:paraId="7BB39D81">
            <w:pPr>
              <w:spacing w:line="240" w:lineRule="auto"/>
              <w:jc w:val="center"/>
              <w:rPr>
                <w:color w:val="000000"/>
              </w:rPr>
            </w:pPr>
            <w:r>
              <w:rPr>
                <w:color w:val="000000"/>
              </w:rPr>
              <w:t>48</w:t>
            </w:r>
          </w:p>
        </w:tc>
      </w:tr>
      <w:tr w14:paraId="2B72A300">
        <w:tblPrEx>
          <w:tblCellMar>
            <w:top w:w="0" w:type="dxa"/>
            <w:left w:w="70" w:type="dxa"/>
            <w:bottom w:w="0" w:type="dxa"/>
            <w:right w:w="70" w:type="dxa"/>
          </w:tblCellMar>
        </w:tblPrEx>
        <w:trPr>
          <w:trHeight w:val="315" w:hRule="atLeast"/>
        </w:trPr>
        <w:tc>
          <w:tcPr>
            <w:tcW w:w="709" w:type="dxa"/>
            <w:tcBorders>
              <w:top w:val="nil"/>
              <w:left w:val="single" w:color="000000" w:sz="8" w:space="0"/>
              <w:bottom w:val="single" w:color="000000" w:sz="4" w:space="0"/>
              <w:right w:val="single" w:color="000000" w:sz="4" w:space="0"/>
            </w:tcBorders>
            <w:shd w:val="clear" w:color="auto" w:fill="CFE2F3"/>
            <w:vAlign w:val="center"/>
          </w:tcPr>
          <w:p w14:paraId="1F7B4E03">
            <w:pPr>
              <w:spacing w:line="240" w:lineRule="auto"/>
              <w:jc w:val="center"/>
              <w:rPr>
                <w:b/>
                <w:color w:val="000000"/>
              </w:rPr>
            </w:pPr>
            <w:r>
              <w:rPr>
                <w:b/>
                <w:color w:val="000000"/>
              </w:rPr>
              <w:t>5</w:t>
            </w:r>
          </w:p>
        </w:tc>
        <w:tc>
          <w:tcPr>
            <w:tcW w:w="8400" w:type="dxa"/>
            <w:gridSpan w:val="3"/>
            <w:tcBorders>
              <w:top w:val="single" w:color="000000" w:sz="4" w:space="0"/>
              <w:left w:val="nil"/>
              <w:bottom w:val="single" w:color="000000" w:sz="4" w:space="0"/>
              <w:right w:val="single" w:color="000000" w:sz="4" w:space="0"/>
            </w:tcBorders>
            <w:shd w:val="clear" w:color="auto" w:fill="CFE2F3"/>
            <w:vAlign w:val="center"/>
          </w:tcPr>
          <w:p w14:paraId="581B5402">
            <w:pPr>
              <w:spacing w:line="240" w:lineRule="auto"/>
              <w:rPr>
                <w:b/>
                <w:color w:val="000000"/>
              </w:rPr>
            </w:pPr>
            <w:r>
              <w:rPr>
                <w:b/>
                <w:color w:val="000000"/>
              </w:rPr>
              <w:t>Software para processamento as infrações e recursos de infrações, inclusive com apoio a JARI</w:t>
            </w:r>
            <w:r>
              <w:rPr>
                <w:color w:val="000000"/>
              </w:rPr>
              <w:t> </w:t>
            </w:r>
          </w:p>
        </w:tc>
      </w:tr>
      <w:tr w14:paraId="7AFBF3B0">
        <w:tblPrEx>
          <w:tblCellMar>
            <w:top w:w="0" w:type="dxa"/>
            <w:left w:w="70" w:type="dxa"/>
            <w:bottom w:w="0" w:type="dxa"/>
            <w:right w:w="70" w:type="dxa"/>
          </w:tblCellMar>
        </w:tblPrEx>
        <w:trPr>
          <w:trHeight w:val="1200" w:hRule="atLeast"/>
        </w:trPr>
        <w:tc>
          <w:tcPr>
            <w:tcW w:w="709" w:type="dxa"/>
            <w:tcBorders>
              <w:top w:val="nil"/>
              <w:left w:val="single" w:color="000000" w:sz="8" w:space="0"/>
              <w:bottom w:val="single" w:color="000000" w:sz="4" w:space="0"/>
              <w:right w:val="single" w:color="000000" w:sz="4" w:space="0"/>
            </w:tcBorders>
            <w:shd w:val="clear" w:color="auto" w:fill="FFFFFF"/>
            <w:vAlign w:val="center"/>
          </w:tcPr>
          <w:p w14:paraId="67E3FB68">
            <w:pPr>
              <w:spacing w:line="240" w:lineRule="auto"/>
              <w:jc w:val="center"/>
              <w:rPr>
                <w:color w:val="000000"/>
              </w:rPr>
            </w:pPr>
            <w:r>
              <w:rPr>
                <w:color w:val="000000"/>
              </w:rPr>
              <w:t>5.1</w:t>
            </w:r>
          </w:p>
        </w:tc>
        <w:tc>
          <w:tcPr>
            <w:tcW w:w="5518" w:type="dxa"/>
            <w:tcBorders>
              <w:top w:val="nil"/>
              <w:left w:val="nil"/>
              <w:bottom w:val="single" w:color="000000" w:sz="4" w:space="0"/>
              <w:right w:val="single" w:color="000000" w:sz="4" w:space="0"/>
            </w:tcBorders>
            <w:shd w:val="clear" w:color="auto" w:fill="FFFFFF"/>
            <w:vAlign w:val="center"/>
          </w:tcPr>
          <w:p w14:paraId="3030BEC4">
            <w:pPr>
              <w:spacing w:line="240" w:lineRule="auto"/>
              <w:rPr>
                <w:color w:val="000000"/>
              </w:rPr>
            </w:pPr>
            <w:r>
              <w:rPr>
                <w:color w:val="000000"/>
              </w:rPr>
              <w:t>Disponibilizar plataforma integrada de processamento de autos de infrações, físicos e eletrônicos; devendo permitir a integração de talonários eletrônicos de outras empresas; devendo permitir a consulta de infrações, recursos, e informações pertinentes ao cidadão via web; devendo permitir integração a plataformas de outras entidades, por exemplo: Detran ou SERPRO</w:t>
            </w:r>
          </w:p>
        </w:tc>
        <w:tc>
          <w:tcPr>
            <w:tcW w:w="1418" w:type="dxa"/>
            <w:tcBorders>
              <w:top w:val="nil"/>
              <w:left w:val="nil"/>
              <w:bottom w:val="single" w:color="000000" w:sz="4" w:space="0"/>
              <w:right w:val="single" w:color="000000" w:sz="4" w:space="0"/>
            </w:tcBorders>
            <w:shd w:val="clear" w:color="auto" w:fill="FFFFFF"/>
            <w:vAlign w:val="center"/>
          </w:tcPr>
          <w:p w14:paraId="591333F4">
            <w:pPr>
              <w:spacing w:line="240" w:lineRule="auto"/>
              <w:jc w:val="center"/>
              <w:rPr>
                <w:color w:val="000000"/>
              </w:rPr>
            </w:pPr>
            <w:r>
              <w:rPr>
                <w:color w:val="000000"/>
              </w:rPr>
              <w:t>Mês</w:t>
            </w:r>
          </w:p>
        </w:tc>
        <w:tc>
          <w:tcPr>
            <w:tcW w:w="1464" w:type="dxa"/>
            <w:tcBorders>
              <w:top w:val="nil"/>
              <w:left w:val="nil"/>
              <w:bottom w:val="single" w:color="000000" w:sz="4" w:space="0"/>
              <w:right w:val="single" w:color="000000" w:sz="4" w:space="0"/>
            </w:tcBorders>
            <w:shd w:val="clear" w:color="auto" w:fill="FFFFFF"/>
            <w:vAlign w:val="center"/>
          </w:tcPr>
          <w:p w14:paraId="50BCEDCF">
            <w:pPr>
              <w:spacing w:line="240" w:lineRule="auto"/>
              <w:jc w:val="center"/>
              <w:rPr>
                <w:color w:val="000000"/>
              </w:rPr>
            </w:pPr>
            <w:r>
              <w:rPr>
                <w:color w:val="000000"/>
              </w:rPr>
              <w:t>12</w:t>
            </w:r>
          </w:p>
        </w:tc>
      </w:tr>
      <w:tr w14:paraId="7C68C5AF">
        <w:tblPrEx>
          <w:tblCellMar>
            <w:top w:w="0" w:type="dxa"/>
            <w:left w:w="70" w:type="dxa"/>
            <w:bottom w:w="0" w:type="dxa"/>
            <w:right w:w="70" w:type="dxa"/>
          </w:tblCellMar>
        </w:tblPrEx>
        <w:trPr>
          <w:trHeight w:val="315" w:hRule="atLeast"/>
        </w:trPr>
        <w:tc>
          <w:tcPr>
            <w:tcW w:w="709" w:type="dxa"/>
            <w:tcBorders>
              <w:top w:val="nil"/>
              <w:left w:val="single" w:color="000000" w:sz="8" w:space="0"/>
              <w:bottom w:val="single" w:color="000000" w:sz="4" w:space="0"/>
              <w:right w:val="single" w:color="000000" w:sz="4" w:space="0"/>
            </w:tcBorders>
            <w:shd w:val="clear" w:color="auto" w:fill="CFE2F3"/>
            <w:vAlign w:val="center"/>
          </w:tcPr>
          <w:p w14:paraId="2EC0B0CF">
            <w:pPr>
              <w:spacing w:line="240" w:lineRule="auto"/>
              <w:jc w:val="center"/>
              <w:rPr>
                <w:b/>
                <w:color w:val="000000"/>
              </w:rPr>
            </w:pPr>
            <w:r>
              <w:rPr>
                <w:b/>
                <w:color w:val="000000"/>
              </w:rPr>
              <w:t>6</w:t>
            </w:r>
          </w:p>
        </w:tc>
        <w:tc>
          <w:tcPr>
            <w:tcW w:w="8400" w:type="dxa"/>
            <w:gridSpan w:val="3"/>
            <w:tcBorders>
              <w:top w:val="nil"/>
              <w:left w:val="nil"/>
              <w:bottom w:val="single" w:color="000000" w:sz="4" w:space="0"/>
              <w:right w:val="single" w:color="000000" w:sz="4" w:space="0"/>
            </w:tcBorders>
            <w:shd w:val="clear" w:color="auto" w:fill="CFE2F3"/>
            <w:vAlign w:val="center"/>
          </w:tcPr>
          <w:p w14:paraId="5EA50975">
            <w:pPr>
              <w:spacing w:line="240" w:lineRule="auto"/>
              <w:rPr>
                <w:b/>
                <w:color w:val="000000"/>
              </w:rPr>
            </w:pPr>
            <w:r>
              <w:rPr>
                <w:b/>
                <w:color w:val="000000"/>
              </w:rPr>
              <w:t>Sistemas</w:t>
            </w:r>
            <w:r>
              <w:rPr>
                <w:color w:val="000000"/>
              </w:rPr>
              <w:t> </w:t>
            </w:r>
          </w:p>
        </w:tc>
      </w:tr>
      <w:tr w14:paraId="1B412B38">
        <w:tblPrEx>
          <w:tblCellMar>
            <w:top w:w="0" w:type="dxa"/>
            <w:left w:w="70" w:type="dxa"/>
            <w:bottom w:w="0" w:type="dxa"/>
            <w:right w:w="70" w:type="dxa"/>
          </w:tblCellMar>
        </w:tblPrEx>
        <w:trPr>
          <w:trHeight w:val="300" w:hRule="atLeast"/>
        </w:trPr>
        <w:tc>
          <w:tcPr>
            <w:tcW w:w="709" w:type="dxa"/>
            <w:tcBorders>
              <w:top w:val="nil"/>
              <w:left w:val="single" w:color="000000" w:sz="8" w:space="0"/>
              <w:bottom w:val="single" w:color="000000" w:sz="4" w:space="0"/>
              <w:right w:val="single" w:color="000000" w:sz="4" w:space="0"/>
            </w:tcBorders>
            <w:shd w:val="clear" w:color="auto" w:fill="FFFFFF"/>
            <w:vAlign w:val="center"/>
          </w:tcPr>
          <w:p w14:paraId="292FB5C4">
            <w:pPr>
              <w:spacing w:line="240" w:lineRule="auto"/>
              <w:jc w:val="center"/>
              <w:rPr>
                <w:color w:val="000000"/>
              </w:rPr>
            </w:pPr>
            <w:r>
              <w:rPr>
                <w:color w:val="000000"/>
              </w:rPr>
              <w:t>6.1</w:t>
            </w:r>
          </w:p>
        </w:tc>
        <w:tc>
          <w:tcPr>
            <w:tcW w:w="5518" w:type="dxa"/>
            <w:tcBorders>
              <w:top w:val="nil"/>
              <w:left w:val="nil"/>
              <w:bottom w:val="single" w:color="000000" w:sz="4" w:space="0"/>
              <w:right w:val="single" w:color="000000" w:sz="4" w:space="0"/>
            </w:tcBorders>
            <w:shd w:val="clear" w:color="auto" w:fill="FFFFFF"/>
            <w:vAlign w:val="center"/>
          </w:tcPr>
          <w:p w14:paraId="265CE464">
            <w:pPr>
              <w:spacing w:line="240" w:lineRule="auto"/>
              <w:rPr>
                <w:color w:val="000000"/>
              </w:rPr>
            </w:pPr>
            <w:r>
              <w:rPr>
                <w:color w:val="000000"/>
              </w:rPr>
              <w:t>Sistema - Anti Jammer</w:t>
            </w:r>
          </w:p>
        </w:tc>
        <w:tc>
          <w:tcPr>
            <w:tcW w:w="1418" w:type="dxa"/>
            <w:tcBorders>
              <w:top w:val="nil"/>
              <w:left w:val="nil"/>
              <w:bottom w:val="single" w:color="000000" w:sz="4" w:space="0"/>
              <w:right w:val="single" w:color="000000" w:sz="4" w:space="0"/>
            </w:tcBorders>
            <w:shd w:val="clear" w:color="auto" w:fill="FFFFFF"/>
            <w:vAlign w:val="center"/>
          </w:tcPr>
          <w:p w14:paraId="54B28F0B">
            <w:pPr>
              <w:spacing w:line="240" w:lineRule="auto"/>
              <w:jc w:val="center"/>
              <w:rPr>
                <w:color w:val="000000"/>
              </w:rPr>
            </w:pPr>
            <w:r>
              <w:rPr>
                <w:color w:val="000000"/>
              </w:rPr>
              <w:t>Mês</w:t>
            </w:r>
          </w:p>
        </w:tc>
        <w:tc>
          <w:tcPr>
            <w:tcW w:w="1464" w:type="dxa"/>
            <w:tcBorders>
              <w:top w:val="nil"/>
              <w:left w:val="nil"/>
              <w:bottom w:val="single" w:color="000000" w:sz="4" w:space="0"/>
              <w:right w:val="single" w:color="000000" w:sz="4" w:space="0"/>
            </w:tcBorders>
            <w:shd w:val="clear" w:color="auto" w:fill="FFFFFF"/>
            <w:vAlign w:val="center"/>
          </w:tcPr>
          <w:p w14:paraId="6126741B">
            <w:pPr>
              <w:spacing w:line="240" w:lineRule="auto"/>
              <w:jc w:val="center"/>
              <w:rPr>
                <w:color w:val="000000"/>
              </w:rPr>
            </w:pPr>
            <w:r>
              <w:rPr>
                <w:color w:val="000000"/>
              </w:rPr>
              <w:t>102</w:t>
            </w:r>
          </w:p>
        </w:tc>
      </w:tr>
      <w:tr w14:paraId="4370E1C5">
        <w:tblPrEx>
          <w:tblCellMar>
            <w:top w:w="0" w:type="dxa"/>
            <w:left w:w="70" w:type="dxa"/>
            <w:bottom w:w="0" w:type="dxa"/>
            <w:right w:w="70" w:type="dxa"/>
          </w:tblCellMar>
        </w:tblPrEx>
        <w:trPr>
          <w:trHeight w:val="300" w:hRule="atLeast"/>
        </w:trPr>
        <w:tc>
          <w:tcPr>
            <w:tcW w:w="709" w:type="dxa"/>
            <w:tcBorders>
              <w:top w:val="nil"/>
              <w:left w:val="single" w:color="000000" w:sz="8" w:space="0"/>
              <w:bottom w:val="single" w:color="auto" w:sz="4" w:space="0"/>
              <w:right w:val="single" w:color="000000" w:sz="4" w:space="0"/>
            </w:tcBorders>
            <w:shd w:val="clear" w:color="auto" w:fill="FFFFFF"/>
            <w:vAlign w:val="center"/>
          </w:tcPr>
          <w:p w14:paraId="2E23BD0A">
            <w:pPr>
              <w:spacing w:line="240" w:lineRule="auto"/>
              <w:jc w:val="center"/>
              <w:rPr>
                <w:color w:val="000000"/>
              </w:rPr>
            </w:pPr>
            <w:r>
              <w:rPr>
                <w:color w:val="000000"/>
              </w:rPr>
              <w:t>6.2</w:t>
            </w:r>
          </w:p>
        </w:tc>
        <w:tc>
          <w:tcPr>
            <w:tcW w:w="5518" w:type="dxa"/>
            <w:tcBorders>
              <w:top w:val="nil"/>
              <w:left w:val="nil"/>
              <w:bottom w:val="single" w:color="auto" w:sz="4" w:space="0"/>
              <w:right w:val="single" w:color="000000" w:sz="4" w:space="0"/>
            </w:tcBorders>
            <w:shd w:val="clear" w:color="auto" w:fill="FFFFFF"/>
            <w:vAlign w:val="center"/>
          </w:tcPr>
          <w:p w14:paraId="2C17FD3A">
            <w:pPr>
              <w:spacing w:line="240" w:lineRule="auto"/>
              <w:rPr>
                <w:color w:val="000000"/>
              </w:rPr>
            </w:pPr>
            <w:r>
              <w:rPr>
                <w:color w:val="000000"/>
              </w:rPr>
              <w:t>Sistema de Fluxo Veicular e Estatística On-Line</w:t>
            </w:r>
          </w:p>
        </w:tc>
        <w:tc>
          <w:tcPr>
            <w:tcW w:w="1418" w:type="dxa"/>
            <w:tcBorders>
              <w:top w:val="nil"/>
              <w:left w:val="nil"/>
              <w:bottom w:val="single" w:color="auto" w:sz="4" w:space="0"/>
              <w:right w:val="single" w:color="000000" w:sz="4" w:space="0"/>
            </w:tcBorders>
            <w:shd w:val="clear" w:color="auto" w:fill="FFFFFF"/>
            <w:vAlign w:val="center"/>
          </w:tcPr>
          <w:p w14:paraId="2F5A76AF">
            <w:pPr>
              <w:spacing w:line="240" w:lineRule="auto"/>
              <w:jc w:val="center"/>
              <w:rPr>
                <w:color w:val="000000"/>
              </w:rPr>
            </w:pPr>
            <w:r>
              <w:rPr>
                <w:color w:val="000000"/>
              </w:rPr>
              <w:t>Mês</w:t>
            </w:r>
          </w:p>
        </w:tc>
        <w:tc>
          <w:tcPr>
            <w:tcW w:w="1464" w:type="dxa"/>
            <w:tcBorders>
              <w:top w:val="nil"/>
              <w:left w:val="nil"/>
              <w:bottom w:val="single" w:color="auto" w:sz="4" w:space="0"/>
              <w:right w:val="single" w:color="000000" w:sz="4" w:space="0"/>
            </w:tcBorders>
            <w:shd w:val="clear" w:color="auto" w:fill="FFFFFF"/>
            <w:vAlign w:val="center"/>
          </w:tcPr>
          <w:p w14:paraId="3C87DE88">
            <w:pPr>
              <w:spacing w:line="240" w:lineRule="auto"/>
              <w:jc w:val="center"/>
              <w:rPr>
                <w:color w:val="000000"/>
              </w:rPr>
            </w:pPr>
            <w:r>
              <w:rPr>
                <w:color w:val="000000"/>
              </w:rPr>
              <w:t>12</w:t>
            </w:r>
          </w:p>
        </w:tc>
      </w:tr>
      <w:tr w14:paraId="69740C43">
        <w:tblPrEx>
          <w:tblCellMar>
            <w:top w:w="0" w:type="dxa"/>
            <w:left w:w="70" w:type="dxa"/>
            <w:bottom w:w="0" w:type="dxa"/>
            <w:right w:w="70" w:type="dxa"/>
          </w:tblCellMar>
        </w:tblPrEx>
        <w:trPr>
          <w:trHeight w:val="315" w:hRule="atLeast"/>
        </w:trPr>
        <w:tc>
          <w:tcPr>
            <w:tcW w:w="709" w:type="dxa"/>
            <w:tcBorders>
              <w:top w:val="single" w:color="auto" w:sz="4" w:space="0"/>
              <w:left w:val="single" w:color="auto" w:sz="4" w:space="0"/>
              <w:bottom w:val="single" w:color="auto" w:sz="4" w:space="0"/>
              <w:right w:val="single" w:color="auto" w:sz="4" w:space="0"/>
            </w:tcBorders>
            <w:shd w:val="clear" w:color="auto" w:fill="FFFFFF"/>
            <w:vAlign w:val="center"/>
          </w:tcPr>
          <w:p w14:paraId="7E6EE284">
            <w:pPr>
              <w:spacing w:line="240" w:lineRule="auto"/>
              <w:jc w:val="center"/>
              <w:rPr>
                <w:color w:val="000000"/>
              </w:rPr>
            </w:pPr>
            <w:r>
              <w:rPr>
                <w:color w:val="000000"/>
              </w:rPr>
              <w:t>6.3</w:t>
            </w:r>
          </w:p>
        </w:tc>
        <w:tc>
          <w:tcPr>
            <w:tcW w:w="5518" w:type="dxa"/>
            <w:tcBorders>
              <w:top w:val="single" w:color="auto" w:sz="4" w:space="0"/>
              <w:left w:val="single" w:color="auto" w:sz="4" w:space="0"/>
              <w:bottom w:val="single" w:color="auto" w:sz="4" w:space="0"/>
              <w:right w:val="single" w:color="auto" w:sz="4" w:space="0"/>
            </w:tcBorders>
            <w:shd w:val="clear" w:color="auto" w:fill="FFFFFF"/>
            <w:vAlign w:val="center"/>
          </w:tcPr>
          <w:p w14:paraId="7EF4E2FA">
            <w:pPr>
              <w:spacing w:line="240" w:lineRule="auto"/>
              <w:rPr>
                <w:color w:val="000000"/>
              </w:rPr>
            </w:pPr>
            <w:r>
              <w:rPr>
                <w:color w:val="000000"/>
              </w:rPr>
              <w:t>Sistema de inteligência Analítica - BI</w:t>
            </w:r>
          </w:p>
        </w:tc>
        <w:tc>
          <w:tcPr>
            <w:tcW w:w="1418" w:type="dxa"/>
            <w:tcBorders>
              <w:top w:val="single" w:color="auto" w:sz="4" w:space="0"/>
              <w:left w:val="single" w:color="auto" w:sz="4" w:space="0"/>
              <w:bottom w:val="single" w:color="auto" w:sz="4" w:space="0"/>
              <w:right w:val="single" w:color="auto" w:sz="4" w:space="0"/>
            </w:tcBorders>
            <w:shd w:val="clear" w:color="auto" w:fill="FFFFFF"/>
            <w:vAlign w:val="center"/>
          </w:tcPr>
          <w:p w14:paraId="13B488EF">
            <w:pPr>
              <w:spacing w:line="240" w:lineRule="auto"/>
              <w:jc w:val="center"/>
              <w:rPr>
                <w:color w:val="000000"/>
              </w:rPr>
            </w:pPr>
            <w:r>
              <w:rPr>
                <w:color w:val="000000"/>
              </w:rPr>
              <w:t>Mês</w:t>
            </w:r>
          </w:p>
        </w:tc>
        <w:tc>
          <w:tcPr>
            <w:tcW w:w="1464" w:type="dxa"/>
            <w:tcBorders>
              <w:top w:val="single" w:color="auto" w:sz="4" w:space="0"/>
              <w:left w:val="single" w:color="auto" w:sz="4" w:space="0"/>
              <w:bottom w:val="single" w:color="auto" w:sz="4" w:space="0"/>
              <w:right w:val="single" w:color="auto" w:sz="4" w:space="0"/>
            </w:tcBorders>
            <w:shd w:val="clear" w:color="auto" w:fill="FFFFFF"/>
            <w:vAlign w:val="center"/>
          </w:tcPr>
          <w:p w14:paraId="0FF5F2E6">
            <w:pPr>
              <w:spacing w:line="240" w:lineRule="auto"/>
              <w:jc w:val="center"/>
              <w:rPr>
                <w:color w:val="000000"/>
              </w:rPr>
            </w:pPr>
            <w:r>
              <w:rPr>
                <w:color w:val="000000"/>
              </w:rPr>
              <w:t>12</w:t>
            </w:r>
          </w:p>
        </w:tc>
      </w:tr>
      <w:tr w14:paraId="3E61B779">
        <w:tblPrEx>
          <w:tblCellMar>
            <w:top w:w="0" w:type="dxa"/>
            <w:left w:w="70" w:type="dxa"/>
            <w:bottom w:w="0" w:type="dxa"/>
            <w:right w:w="70" w:type="dxa"/>
          </w:tblCellMar>
        </w:tblPrEx>
        <w:trPr>
          <w:trHeight w:val="315" w:hRule="atLeast"/>
        </w:trPr>
        <w:tc>
          <w:tcPr>
            <w:tcW w:w="709" w:type="dxa"/>
            <w:tcBorders>
              <w:top w:val="single" w:color="auto" w:sz="4" w:space="0"/>
              <w:left w:val="single" w:color="auto" w:sz="4" w:space="0"/>
              <w:bottom w:val="single" w:color="auto" w:sz="4" w:space="0"/>
              <w:right w:val="single" w:color="auto" w:sz="4" w:space="0"/>
            </w:tcBorders>
            <w:shd w:val="clear" w:color="auto" w:fill="FFFFFF"/>
            <w:vAlign w:val="center"/>
          </w:tcPr>
          <w:p w14:paraId="332B44FC">
            <w:pPr>
              <w:spacing w:line="240" w:lineRule="auto"/>
              <w:jc w:val="center"/>
              <w:rPr>
                <w:color w:val="000000"/>
              </w:rPr>
            </w:pPr>
            <w:r>
              <w:rPr>
                <w:color w:val="000000"/>
              </w:rPr>
              <w:t>6.4</w:t>
            </w:r>
          </w:p>
        </w:tc>
        <w:tc>
          <w:tcPr>
            <w:tcW w:w="5518" w:type="dxa"/>
            <w:tcBorders>
              <w:top w:val="single" w:color="auto" w:sz="4" w:space="0"/>
              <w:left w:val="single" w:color="auto" w:sz="4" w:space="0"/>
              <w:bottom w:val="single" w:color="auto" w:sz="4" w:space="0"/>
              <w:right w:val="single" w:color="auto" w:sz="4" w:space="0"/>
            </w:tcBorders>
            <w:shd w:val="clear" w:color="auto" w:fill="FFFFFF"/>
            <w:vAlign w:val="center"/>
          </w:tcPr>
          <w:p w14:paraId="1E024A58">
            <w:pPr>
              <w:spacing w:line="240" w:lineRule="auto"/>
              <w:rPr>
                <w:color w:val="000000"/>
              </w:rPr>
            </w:pPr>
            <w:r>
              <w:rPr>
                <w:color w:val="000000"/>
              </w:rPr>
              <w:t>Sistema Integrador para Gerenciamento de Imagens e Processamento das Informações Geradas</w:t>
            </w:r>
          </w:p>
        </w:tc>
        <w:tc>
          <w:tcPr>
            <w:tcW w:w="1418" w:type="dxa"/>
            <w:tcBorders>
              <w:top w:val="single" w:color="auto" w:sz="4" w:space="0"/>
              <w:left w:val="single" w:color="auto" w:sz="4" w:space="0"/>
              <w:bottom w:val="single" w:color="auto" w:sz="4" w:space="0"/>
              <w:right w:val="single" w:color="auto" w:sz="4" w:space="0"/>
            </w:tcBorders>
            <w:shd w:val="clear" w:color="auto" w:fill="FFFFFF"/>
            <w:vAlign w:val="center"/>
          </w:tcPr>
          <w:p w14:paraId="58EAE0CB">
            <w:pPr>
              <w:spacing w:line="240" w:lineRule="auto"/>
              <w:jc w:val="center"/>
              <w:rPr>
                <w:color w:val="000000"/>
              </w:rPr>
            </w:pPr>
            <w:r>
              <w:rPr>
                <w:color w:val="000000"/>
              </w:rPr>
              <w:t>Mês</w:t>
            </w:r>
          </w:p>
        </w:tc>
        <w:tc>
          <w:tcPr>
            <w:tcW w:w="1464" w:type="dxa"/>
            <w:tcBorders>
              <w:top w:val="single" w:color="auto" w:sz="4" w:space="0"/>
              <w:left w:val="single" w:color="auto" w:sz="4" w:space="0"/>
              <w:bottom w:val="single" w:color="auto" w:sz="4" w:space="0"/>
              <w:right w:val="single" w:color="auto" w:sz="4" w:space="0"/>
            </w:tcBorders>
            <w:shd w:val="clear" w:color="auto" w:fill="FFFFFF"/>
            <w:vAlign w:val="center"/>
          </w:tcPr>
          <w:p w14:paraId="45BEA8E2">
            <w:pPr>
              <w:spacing w:line="240" w:lineRule="auto"/>
              <w:jc w:val="center"/>
              <w:rPr>
                <w:color w:val="000000"/>
              </w:rPr>
            </w:pPr>
            <w:r>
              <w:rPr>
                <w:color w:val="000000"/>
              </w:rPr>
              <w:t>12</w:t>
            </w:r>
          </w:p>
        </w:tc>
      </w:tr>
    </w:tbl>
    <w:p w14:paraId="47E19293">
      <w:pPr>
        <w:pStyle w:val="72"/>
        <w:numPr>
          <w:ilvl w:val="0"/>
          <w:numId w:val="25"/>
        </w:numPr>
        <w:spacing w:before="240" w:after="240" w:line="360" w:lineRule="auto"/>
        <w:ind w:left="0" w:firstLine="0"/>
        <w:contextualSpacing w:val="0"/>
        <w:jc w:val="both"/>
        <w:outlineLvl w:val="1"/>
        <w:rPr>
          <w:b/>
          <w:bCs/>
        </w:rPr>
      </w:pPr>
      <w:r>
        <w:rPr>
          <w:b/>
          <w:bCs/>
        </w:rPr>
        <w:t>ESTIMATIVA DOVALOR DA CONTRATAÇÃO</w:t>
      </w:r>
    </w:p>
    <w:p w14:paraId="33C0F9A1">
      <w:pPr>
        <w:pStyle w:val="72"/>
        <w:numPr>
          <w:ilvl w:val="1"/>
          <w:numId w:val="25"/>
        </w:numPr>
        <w:spacing w:before="240" w:after="240" w:line="360" w:lineRule="auto"/>
        <w:ind w:left="0" w:firstLine="0"/>
        <w:contextualSpacing w:val="0"/>
        <w:jc w:val="both"/>
        <w:rPr>
          <w:bCs/>
        </w:rPr>
      </w:pPr>
      <w:r>
        <w:t xml:space="preserve">O custo estimado total da contratação é de </w:t>
      </w:r>
      <w:r>
        <w:rPr>
          <w:b/>
          <w:bCs/>
        </w:rPr>
        <w:t>R$ 16.872.232,56 (dezesseis milhões oitocentos e setenta e dois mil duzentos e trinta e dois reais e cinquenta e seis  centavos)</w:t>
      </w:r>
      <w:r>
        <w:rPr>
          <w:b/>
        </w:rPr>
        <w:t xml:space="preserve">, </w:t>
      </w:r>
      <w:r>
        <w:t>conforme cronograma físico financeiro (Anexo IX).</w:t>
      </w:r>
    </w:p>
    <w:p w14:paraId="0D35625E">
      <w:pPr>
        <w:pStyle w:val="72"/>
        <w:numPr>
          <w:ilvl w:val="0"/>
          <w:numId w:val="25"/>
        </w:numPr>
        <w:spacing w:before="240" w:after="240" w:line="360" w:lineRule="auto"/>
        <w:contextualSpacing w:val="0"/>
        <w:jc w:val="both"/>
        <w:outlineLvl w:val="1"/>
        <w:rPr>
          <w:b/>
          <w:bCs/>
        </w:rPr>
      </w:pPr>
      <w:r>
        <w:rPr>
          <w:b/>
          <w:bCs/>
        </w:rPr>
        <w:t>DAS SANÇÕES</w:t>
      </w:r>
    </w:p>
    <w:p w14:paraId="540B718F">
      <w:pPr>
        <w:pStyle w:val="72"/>
        <w:numPr>
          <w:ilvl w:val="1"/>
          <w:numId w:val="25"/>
        </w:numPr>
        <w:suppressAutoHyphens/>
        <w:spacing w:before="240" w:after="240" w:line="360" w:lineRule="auto"/>
        <w:ind w:left="0" w:firstLine="0"/>
        <w:contextualSpacing w:val="0"/>
        <w:jc w:val="both"/>
      </w:pPr>
      <w:r>
        <w:t xml:space="preserve">Comete infração administrativa o fornecedor/prestador de serviço que cometer quaisquer das infrações previstas no art. 155 da Lei nº 14.133, de 2021, quais sejam: </w:t>
      </w:r>
    </w:p>
    <w:p w14:paraId="56106ABE">
      <w:pPr>
        <w:pStyle w:val="72"/>
        <w:numPr>
          <w:ilvl w:val="2"/>
          <w:numId w:val="25"/>
        </w:numPr>
        <w:suppressAutoHyphens/>
        <w:spacing w:before="240" w:after="240" w:line="360" w:lineRule="auto"/>
        <w:ind w:left="0" w:firstLine="0"/>
        <w:contextualSpacing w:val="0"/>
        <w:jc w:val="both"/>
      </w:pPr>
      <w:r>
        <w:t>Dar causa à inexecução parcial do contrato;</w:t>
      </w:r>
    </w:p>
    <w:p w14:paraId="4EDBD529">
      <w:pPr>
        <w:pStyle w:val="72"/>
        <w:numPr>
          <w:ilvl w:val="2"/>
          <w:numId w:val="25"/>
        </w:numPr>
        <w:suppressAutoHyphens/>
        <w:spacing w:before="240" w:after="240" w:line="360" w:lineRule="auto"/>
        <w:ind w:left="0" w:firstLine="0"/>
        <w:contextualSpacing w:val="0"/>
        <w:jc w:val="both"/>
      </w:pPr>
      <w:r>
        <w:t>Dar causa à inexecução parcial do contrato que cause grave dano à Administração, ao funcionamento dos serviços públicos ou ao interesse coletivo;</w:t>
      </w:r>
    </w:p>
    <w:p w14:paraId="628D7370">
      <w:pPr>
        <w:pStyle w:val="72"/>
        <w:numPr>
          <w:ilvl w:val="2"/>
          <w:numId w:val="25"/>
        </w:numPr>
        <w:suppressAutoHyphens/>
        <w:spacing w:before="240" w:after="240" w:line="360" w:lineRule="auto"/>
        <w:ind w:left="0" w:firstLine="0"/>
        <w:contextualSpacing w:val="0"/>
        <w:jc w:val="both"/>
      </w:pPr>
      <w:r>
        <w:t>Dar causa à inexecução total do contrato;</w:t>
      </w:r>
    </w:p>
    <w:p w14:paraId="67927EF4">
      <w:pPr>
        <w:pStyle w:val="72"/>
        <w:numPr>
          <w:ilvl w:val="2"/>
          <w:numId w:val="25"/>
        </w:numPr>
        <w:suppressAutoHyphens/>
        <w:spacing w:before="240" w:after="240" w:line="360" w:lineRule="auto"/>
        <w:ind w:left="0" w:firstLine="0"/>
        <w:contextualSpacing w:val="0"/>
        <w:jc w:val="both"/>
      </w:pPr>
      <w:r>
        <w:t>Deixar de entregar a documentação exigida para o certame;</w:t>
      </w:r>
    </w:p>
    <w:p w14:paraId="7A1D4CB9">
      <w:pPr>
        <w:pStyle w:val="72"/>
        <w:numPr>
          <w:ilvl w:val="2"/>
          <w:numId w:val="25"/>
        </w:numPr>
        <w:suppressAutoHyphens/>
        <w:spacing w:before="240" w:after="240" w:line="360" w:lineRule="auto"/>
        <w:ind w:left="0" w:firstLine="0"/>
        <w:contextualSpacing w:val="0"/>
        <w:jc w:val="both"/>
      </w:pPr>
      <w:r>
        <w:t>Não manter a proposta, salvo em decorrência de fato superveniente devidamente justificado;</w:t>
      </w:r>
    </w:p>
    <w:p w14:paraId="51155F99">
      <w:pPr>
        <w:pStyle w:val="72"/>
        <w:numPr>
          <w:ilvl w:val="2"/>
          <w:numId w:val="25"/>
        </w:numPr>
        <w:suppressAutoHyphens/>
        <w:spacing w:before="240" w:after="240" w:line="360" w:lineRule="auto"/>
        <w:ind w:left="0" w:firstLine="0"/>
        <w:contextualSpacing w:val="0"/>
        <w:jc w:val="both"/>
      </w:pPr>
      <w:r>
        <w:t>Não celebrar o contrato ou não entregar a documentação exigida para a contratação, quando convocado dentro do prazo de validade de sua proposta;</w:t>
      </w:r>
    </w:p>
    <w:p w14:paraId="3C015D4E">
      <w:pPr>
        <w:pStyle w:val="72"/>
        <w:numPr>
          <w:ilvl w:val="2"/>
          <w:numId w:val="25"/>
        </w:numPr>
        <w:suppressAutoHyphens/>
        <w:spacing w:before="240" w:after="240" w:line="360" w:lineRule="auto"/>
        <w:ind w:left="0" w:firstLine="0"/>
        <w:contextualSpacing w:val="0"/>
        <w:jc w:val="both"/>
      </w:pPr>
      <w:r>
        <w:t>Ensejar o retardamento da execução ou da entrega do objeto da licitação sem motivo justificado;</w:t>
      </w:r>
    </w:p>
    <w:p w14:paraId="1B654252">
      <w:pPr>
        <w:pStyle w:val="72"/>
        <w:numPr>
          <w:ilvl w:val="2"/>
          <w:numId w:val="25"/>
        </w:numPr>
        <w:suppressAutoHyphens/>
        <w:spacing w:before="240" w:after="240" w:line="360" w:lineRule="auto"/>
        <w:ind w:left="0" w:firstLine="0"/>
        <w:contextualSpacing w:val="0"/>
        <w:jc w:val="both"/>
      </w:pPr>
      <w:r>
        <w:t>Apresentar declaração ou documentação falsa exigida para o certame ou prestar declaração falsa durante a dispensa eletrônica ou a execução do contrato;</w:t>
      </w:r>
    </w:p>
    <w:p w14:paraId="16ADF41F">
      <w:pPr>
        <w:pStyle w:val="72"/>
        <w:numPr>
          <w:ilvl w:val="2"/>
          <w:numId w:val="25"/>
        </w:numPr>
        <w:suppressAutoHyphens/>
        <w:spacing w:before="240" w:after="240" w:line="360" w:lineRule="auto"/>
        <w:ind w:left="0" w:firstLine="0"/>
        <w:contextualSpacing w:val="0"/>
        <w:jc w:val="both"/>
      </w:pPr>
      <w:r>
        <w:t>Fraudar a dispensa eletrônica ou praticar ato fraudulento na execução do contrato;</w:t>
      </w:r>
    </w:p>
    <w:p w14:paraId="2A7B02CF">
      <w:pPr>
        <w:pStyle w:val="72"/>
        <w:numPr>
          <w:ilvl w:val="2"/>
          <w:numId w:val="25"/>
        </w:numPr>
        <w:suppressAutoHyphens/>
        <w:spacing w:before="240" w:after="240" w:line="360" w:lineRule="auto"/>
        <w:ind w:left="0" w:firstLine="0"/>
        <w:contextualSpacing w:val="0"/>
        <w:jc w:val="both"/>
      </w:pPr>
      <w:r>
        <w:t>Comportar-se de modo inidôneo ou cometer fraude de qualquer natureza;</w:t>
      </w:r>
    </w:p>
    <w:p w14:paraId="4C2785DB">
      <w:pPr>
        <w:pStyle w:val="72"/>
        <w:numPr>
          <w:ilvl w:val="3"/>
          <w:numId w:val="25"/>
        </w:numPr>
        <w:suppressAutoHyphens/>
        <w:spacing w:before="240" w:after="240" w:line="360" w:lineRule="auto"/>
        <w:ind w:left="0" w:firstLine="0"/>
        <w:contextualSpacing w:val="0"/>
        <w:jc w:val="both"/>
      </w:pPr>
      <w: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2347076A">
      <w:pPr>
        <w:pStyle w:val="72"/>
        <w:numPr>
          <w:ilvl w:val="2"/>
          <w:numId w:val="25"/>
        </w:numPr>
        <w:suppressAutoHyphens/>
        <w:spacing w:before="240" w:after="240" w:line="360" w:lineRule="auto"/>
        <w:ind w:left="0" w:firstLine="0"/>
        <w:contextualSpacing w:val="0"/>
        <w:jc w:val="both"/>
      </w:pPr>
      <w:r>
        <w:t>Praticar atos ilícitos com vistas a frustrar os objetivos deste certame;</w:t>
      </w:r>
    </w:p>
    <w:p w14:paraId="76F433B6">
      <w:pPr>
        <w:pStyle w:val="72"/>
        <w:numPr>
          <w:ilvl w:val="2"/>
          <w:numId w:val="25"/>
        </w:numPr>
        <w:suppressAutoHyphens/>
        <w:spacing w:before="240" w:after="240" w:line="360" w:lineRule="auto"/>
        <w:ind w:left="0" w:firstLine="0"/>
        <w:contextualSpacing w:val="0"/>
        <w:jc w:val="both"/>
      </w:pPr>
      <w:r>
        <w:t>Praticar ato lesivo previsto no art. 5º da Lei 12.846/2013.</w:t>
      </w:r>
    </w:p>
    <w:p w14:paraId="1170D4E4">
      <w:pPr>
        <w:pStyle w:val="72"/>
        <w:numPr>
          <w:ilvl w:val="1"/>
          <w:numId w:val="25"/>
        </w:numPr>
        <w:suppressAutoHyphens/>
        <w:spacing w:before="240" w:after="240" w:line="360" w:lineRule="auto"/>
        <w:ind w:left="0" w:firstLine="0"/>
        <w:contextualSpacing w:val="0"/>
        <w:jc w:val="both"/>
      </w:pPr>
      <w:r>
        <w:t>O fornecedor que cometer qualquer das infrações discriminadas nos subitens anteriores ficará sujeito, sem prejuízo da responsabilidade civil e criminal, às seguintes sanções:</w:t>
      </w:r>
    </w:p>
    <w:p w14:paraId="30A3E766">
      <w:pPr>
        <w:spacing w:before="100" w:beforeAutospacing="1" w:after="100" w:afterAutospacing="1" w:line="360" w:lineRule="auto"/>
      </w:pPr>
      <w:r>
        <w:t>a) Advertência pela falta do subitem 24.1.1 deste Termo de Referência, quando não se justificar a imposição de penalidade mais grave;</w:t>
      </w:r>
    </w:p>
    <w:p w14:paraId="1AF11337">
      <w:pPr>
        <w:spacing w:before="100" w:beforeAutospacing="1" w:after="100" w:afterAutospacing="1" w:line="360" w:lineRule="auto"/>
      </w:pPr>
      <w:r>
        <w:t>b) Multa, calculada na forma do contrato, com base no total do valor da contratação realizada de forma direta e será aplicada ao responsável por qualquer das infrações administrativas previstas no item 24.1 deste Termo de Referência, no percentual de até 10% (dez por cento), na hipótese de cometimento das infrações previstas nos itens 24.1.1 a 24.1.7, e até 20% (vinte por cento), se cometidas infrações previstas nos itens 24.1.8 a 24.1.12;</w:t>
      </w:r>
    </w:p>
    <w:p w14:paraId="2D7AF2AF">
      <w:pPr>
        <w:spacing w:before="100" w:beforeAutospacing="1" w:after="100" w:afterAutospacing="1" w:line="360" w:lineRule="auto"/>
      </w:pPr>
      <w:r>
        <w:t>b.1) O valor da multa poderá ser descontado das faturas devidas à CONTRATADA;</w:t>
      </w:r>
    </w:p>
    <w:p w14:paraId="60BCE4E9">
      <w:pPr>
        <w:spacing w:before="100" w:beforeAutospacing="1" w:after="100" w:afterAutospacing="1" w:line="360" w:lineRule="auto"/>
      </w:pPr>
      <w:r>
        <w:t>b.2) A multa pode ser aplicada isoladamente ou juntamente com as penalidades definidas nos itens “c” e “d” abaixo:</w:t>
      </w:r>
    </w:p>
    <w:p w14:paraId="49A6A778">
      <w:pPr>
        <w:spacing w:before="100" w:beforeAutospacing="1" w:after="100" w:afterAutospacing="1" w:line="360" w:lineRule="auto"/>
      </w:pPr>
      <w:r>
        <w:t>c) Impedimento de licitar e contratar no âmbito da Administração Pública direta e indireta do ente federativo que tiver aplicado a sanção, pelo prazo máximo de 03 (três) anos, nos casos dos subitens 24.1.2 a 24.1.7 deste Termo de Referência, quando não se justificar a imposição de penalidade mais grave;</w:t>
      </w:r>
    </w:p>
    <w:p w14:paraId="197384DB">
      <w:pPr>
        <w:spacing w:before="100" w:beforeAutospacing="1" w:after="100" w:afterAutospacing="1" w:line="360" w:lineRule="auto"/>
      </w:pPr>
      <w:r>
        <w:t>d) Declaração de inidoneidade para licitar ou contratar, que impedirá o responsável de licitar ou contratar no âmbito da Administração Pública direta e indireta de todos os entes federativos, pelo prazo mínimo de 03 (três) anos e máximo de 06 (seis) anos, nos casos dos subitens 24.1.2 a 24.1.12 deste Termo de Referência;</w:t>
      </w:r>
    </w:p>
    <w:p w14:paraId="7FBC8C5D">
      <w:pPr>
        <w:pStyle w:val="72"/>
        <w:numPr>
          <w:ilvl w:val="1"/>
          <w:numId w:val="25"/>
        </w:numPr>
        <w:suppressAutoHyphens/>
        <w:spacing w:before="240" w:after="240" w:line="360" w:lineRule="auto"/>
        <w:ind w:left="0" w:firstLine="0"/>
        <w:contextualSpacing w:val="0"/>
        <w:jc w:val="both"/>
      </w:pPr>
      <w:r>
        <w:t>Na aplicação das sanções serão considerados:</w:t>
      </w:r>
    </w:p>
    <w:p w14:paraId="7F61BE92">
      <w:pPr>
        <w:pStyle w:val="72"/>
        <w:numPr>
          <w:ilvl w:val="2"/>
          <w:numId w:val="25"/>
        </w:numPr>
        <w:suppressAutoHyphens/>
        <w:spacing w:before="240" w:after="240" w:line="360" w:lineRule="auto"/>
        <w:ind w:left="0" w:firstLine="0"/>
        <w:contextualSpacing w:val="0"/>
        <w:jc w:val="both"/>
      </w:pPr>
      <w:r>
        <w:t>A natureza e a gravidade da infração cometida;</w:t>
      </w:r>
    </w:p>
    <w:p w14:paraId="63D8F1BB">
      <w:pPr>
        <w:pStyle w:val="72"/>
        <w:numPr>
          <w:ilvl w:val="2"/>
          <w:numId w:val="25"/>
        </w:numPr>
        <w:suppressAutoHyphens/>
        <w:spacing w:before="240" w:after="240" w:line="360" w:lineRule="auto"/>
        <w:ind w:left="0" w:firstLine="0"/>
        <w:contextualSpacing w:val="0"/>
        <w:jc w:val="both"/>
      </w:pPr>
      <w:r>
        <w:t>As peculiaridades do caso concreto;</w:t>
      </w:r>
    </w:p>
    <w:p w14:paraId="14BE752B">
      <w:pPr>
        <w:pStyle w:val="72"/>
        <w:numPr>
          <w:ilvl w:val="2"/>
          <w:numId w:val="25"/>
        </w:numPr>
        <w:suppressAutoHyphens/>
        <w:spacing w:before="240" w:after="240" w:line="360" w:lineRule="auto"/>
        <w:ind w:left="0" w:firstLine="0"/>
        <w:contextualSpacing w:val="0"/>
        <w:jc w:val="both"/>
      </w:pPr>
      <w:r>
        <w:t>As circunstâncias agravantes ou atenuantes;</w:t>
      </w:r>
    </w:p>
    <w:p w14:paraId="69A1AB1D">
      <w:pPr>
        <w:pStyle w:val="72"/>
        <w:numPr>
          <w:ilvl w:val="2"/>
          <w:numId w:val="25"/>
        </w:numPr>
        <w:suppressAutoHyphens/>
        <w:spacing w:before="240" w:after="240" w:line="360" w:lineRule="auto"/>
        <w:ind w:left="0" w:firstLine="0"/>
        <w:contextualSpacing w:val="0"/>
        <w:jc w:val="both"/>
      </w:pPr>
      <w:r>
        <w:t>Os danos que dela provierem para a Administração Pública;</w:t>
      </w:r>
    </w:p>
    <w:p w14:paraId="7A2E7616">
      <w:pPr>
        <w:pStyle w:val="72"/>
        <w:numPr>
          <w:ilvl w:val="2"/>
          <w:numId w:val="25"/>
        </w:numPr>
        <w:suppressAutoHyphens/>
        <w:spacing w:before="240" w:after="240" w:line="360" w:lineRule="auto"/>
        <w:ind w:left="0" w:firstLine="0"/>
        <w:contextualSpacing w:val="0"/>
        <w:jc w:val="both"/>
      </w:pPr>
      <w:r>
        <w:t>A implantação ou o aperfeiçoamento de programa de integridade, conforme normas e orientações dos órgãos de controle.</w:t>
      </w:r>
    </w:p>
    <w:p w14:paraId="6375222D">
      <w:pPr>
        <w:pStyle w:val="72"/>
        <w:numPr>
          <w:ilvl w:val="1"/>
          <w:numId w:val="25"/>
        </w:numPr>
        <w:suppressAutoHyphens/>
        <w:spacing w:before="240" w:after="240" w:line="360" w:lineRule="auto"/>
        <w:ind w:left="0" w:firstLine="0"/>
        <w:contextualSpacing w:val="0"/>
        <w:jc w:val="both"/>
      </w:pPr>
      <w:r>
        <w:t>Se a multa aplicada e as indenizações cabíveis forem superiores ao valor de pagamento eventualmente devido pela Administração à CONTRATADA, além da perda desse valor, a diferença será descontada da garantia prestada ou será cobrada judicialmente;</w:t>
      </w:r>
    </w:p>
    <w:p w14:paraId="1FACFFAD">
      <w:pPr>
        <w:pStyle w:val="72"/>
        <w:numPr>
          <w:ilvl w:val="1"/>
          <w:numId w:val="25"/>
        </w:numPr>
        <w:suppressAutoHyphens/>
        <w:spacing w:before="240" w:after="240" w:line="360" w:lineRule="auto"/>
        <w:ind w:left="0" w:firstLine="0"/>
        <w:contextualSpacing w:val="0"/>
        <w:jc w:val="both"/>
      </w:pPr>
      <w:r>
        <w:t>A aplicação de qualquer das penalidades previstas realizar-se-á em processo administrativo que assegurará o contraditório e a ampla defesa ao fornecedor/adjudicatário, observando-se o rito procedimental previsto no Capítulo I do Título IV da Lei 14.133/2021 – Das Infrações e Sanções Administrativas.</w:t>
      </w:r>
    </w:p>
    <w:p w14:paraId="4AD955D5">
      <w:pPr>
        <w:pStyle w:val="72"/>
        <w:numPr>
          <w:ilvl w:val="0"/>
          <w:numId w:val="25"/>
        </w:numPr>
        <w:spacing w:before="240" w:after="240" w:line="360" w:lineRule="auto"/>
        <w:ind w:left="0" w:firstLine="0"/>
        <w:contextualSpacing w:val="0"/>
        <w:jc w:val="both"/>
        <w:outlineLvl w:val="1"/>
        <w:rPr>
          <w:b/>
          <w:bCs/>
        </w:rPr>
      </w:pPr>
      <w:r>
        <w:rPr>
          <w:b/>
          <w:bCs/>
        </w:rPr>
        <w:t xml:space="preserve">JUSTIFICATIVA DO PREÇO </w:t>
      </w:r>
    </w:p>
    <w:p w14:paraId="0EBE98E2">
      <w:pPr>
        <w:pStyle w:val="72"/>
        <w:numPr>
          <w:ilvl w:val="1"/>
          <w:numId w:val="25"/>
        </w:numPr>
        <w:suppressAutoHyphens/>
        <w:spacing w:before="240" w:after="240" w:line="360" w:lineRule="auto"/>
        <w:ind w:left="0" w:firstLine="0"/>
        <w:contextualSpacing w:val="0"/>
        <w:jc w:val="both"/>
      </w:pPr>
      <w:r>
        <w:t>Certifico que as pesquisas de preços foram realizadas em conformidade com as normas estabelecidas pelo Decreto Municipal nº 11.685/2023, em seu art. 27 e incisos I ao V, que dispõem sobre o procedimento administrativo para a realização de pesquisa de preços no âmbito municipal, conforme segue:</w:t>
      </w:r>
      <w:r>
        <w:br w:type="textWrapping"/>
      </w:r>
      <w:r>
        <w:t>I - composição de custos unitários menores ou iguais à mediana do item correspondente nos sistemas oficiais de governo, como Painel de Preços, banco de preços em saúde, Sistema Radar do TCE-MT ou por consulta de preços no Portal Nacional de Contratações Públicas (PNCP);</w:t>
      </w:r>
      <w:r>
        <w:br w:type="textWrapping"/>
      </w:r>
      <w:r>
        <w:t>II - contratações similares feitas pela Administração Pública, em execução ou concluídas no período de 01 (um) ano anterior à data da pesquisa de preços, inclusive mediante sistema de registro de preços, observado o índice de atualização de preços correspondente;</w:t>
      </w:r>
      <w:r>
        <w:br w:type="textWrapping"/>
      </w:r>
      <w:r>
        <w:t>III - dados de pesquisa publicada em mídia especializada, de tabela de referência formalmente aprovada pelo Poder Executivo e de sítios eletrônicos especializados ou de domínio amplo, desde que contenham a data e hora de acesso e tenham sido publicadas no período de 01 (um) ano anterior à data da pesquisa de preços;</w:t>
      </w:r>
      <w:r>
        <w:br w:type="textWrapping"/>
      </w:r>
      <w:r>
        <w:t>IV - pesquisa direta com no mínimo 03 (três) fornecedores, mediante solicitação formal de cotação, por meio de ofício ou e-mail, desde que seja apresentada justificativa da escolha desses fornecedores e que não tenham sido obtidos os orçamentos com mais de 6 (seis) meses de antecedência da data de divulgação do edital;</w:t>
      </w:r>
      <w:r>
        <w:br w:type="textWrapping"/>
      </w:r>
      <w:r>
        <w:t>V - pesquisa na base nacional de notas fiscais eletrônicas, e, quando o objeto tratar da aquisição de produtos, na base de preços do sistema de nota fiscal eletrônica de Mato Grosso, desde que as cotações tenham sido obtidas no período de até 01 (um) ano anterior à data da pesquisa de preços.</w:t>
      </w:r>
      <w:r>
        <w:br w:type="textWrapping"/>
      </w:r>
      <w:r>
        <w:t>§ 1º Deverá ser priorizada a utilização dos incisos I e II do caput deste artigo.</w:t>
      </w:r>
    </w:p>
    <w:p w14:paraId="40FBDB09">
      <w:pPr>
        <w:pStyle w:val="72"/>
        <w:numPr>
          <w:ilvl w:val="1"/>
          <w:numId w:val="25"/>
        </w:numPr>
        <w:suppressAutoHyphens/>
        <w:spacing w:before="240" w:after="240" w:line="360" w:lineRule="auto"/>
        <w:ind w:left="0" w:firstLine="0"/>
        <w:contextualSpacing w:val="0"/>
        <w:jc w:val="both"/>
      </w:pPr>
      <w:r>
        <w:t>Em atendimento ao Acórdão nº 1418/2023 do Tribunal de Contas da União (TCU), que prevê a pesquisa de preços públicos como prioridade e admite a pesquisa em mercado privado apenas em último caso, foi realizada extensa pesquisa de preços para todos os itens constantes deste Termo de Referência junto ao Sistema Radar do Tribunal de Contas do Estado de Mato Grosso (TCE-MT), conforme inciso I acima.</w:t>
      </w:r>
    </w:p>
    <w:p w14:paraId="190EC64F">
      <w:pPr>
        <w:pStyle w:val="72"/>
        <w:numPr>
          <w:ilvl w:val="1"/>
          <w:numId w:val="25"/>
        </w:numPr>
        <w:suppressAutoHyphens/>
        <w:spacing w:before="240" w:after="240" w:line="360" w:lineRule="auto"/>
        <w:ind w:left="0" w:firstLine="0"/>
        <w:contextualSpacing w:val="0"/>
        <w:jc w:val="both"/>
      </w:pPr>
      <w:r>
        <w:t>Foi verificado que:</w:t>
      </w:r>
    </w:p>
    <w:p w14:paraId="66DA7699">
      <w:pPr>
        <w:pStyle w:val="72"/>
        <w:numPr>
          <w:ilvl w:val="0"/>
          <w:numId w:val="31"/>
        </w:numPr>
        <w:suppressAutoHyphens/>
        <w:spacing w:before="240" w:after="240" w:line="360" w:lineRule="auto"/>
        <w:ind w:left="714" w:hanging="357"/>
        <w:contextualSpacing w:val="0"/>
        <w:jc w:val="both"/>
      </w:pPr>
      <w:r>
        <w:t xml:space="preserve">No </w:t>
      </w:r>
      <w:r>
        <w:rPr>
          <w:b/>
          <w:bCs/>
        </w:rPr>
        <w:t>Item 1</w:t>
      </w:r>
      <w:r>
        <w:t>, o preço encontra-se compatível com os valores praticados no mercado, embora a referência utilizada seja de processo do ano de 2023, estando seu prazo vencido.</w:t>
      </w:r>
    </w:p>
    <w:p w14:paraId="6604CABC">
      <w:pPr>
        <w:pStyle w:val="72"/>
        <w:numPr>
          <w:ilvl w:val="0"/>
          <w:numId w:val="31"/>
        </w:numPr>
        <w:suppressAutoHyphens/>
        <w:spacing w:before="240" w:after="240" w:line="360" w:lineRule="auto"/>
        <w:ind w:left="714" w:hanging="357"/>
        <w:contextualSpacing w:val="0"/>
        <w:jc w:val="both"/>
      </w:pPr>
      <w:r>
        <w:t xml:space="preserve">No </w:t>
      </w:r>
      <w:r>
        <w:rPr>
          <w:b/>
          <w:bCs/>
        </w:rPr>
        <w:t>Item 2</w:t>
      </w:r>
      <w:r>
        <w:t>, o valor constatado apresenta significativa discrepância em relação aos preços de mercado e também está desatualizado.</w:t>
      </w:r>
    </w:p>
    <w:p w14:paraId="60E27180">
      <w:pPr>
        <w:pStyle w:val="72"/>
        <w:numPr>
          <w:ilvl w:val="0"/>
          <w:numId w:val="31"/>
        </w:numPr>
        <w:suppressAutoHyphens/>
        <w:spacing w:before="240" w:after="240" w:line="360" w:lineRule="auto"/>
        <w:ind w:left="714" w:hanging="357"/>
        <w:contextualSpacing w:val="0"/>
        <w:jc w:val="both"/>
      </w:pPr>
      <w:r>
        <w:t xml:space="preserve">No </w:t>
      </w:r>
      <w:r>
        <w:rPr>
          <w:b/>
          <w:bCs/>
        </w:rPr>
        <w:t>Item 3</w:t>
      </w:r>
      <w:r>
        <w:t>, não foram localizados preços compatíveis e atualizados no Radar ou outras bases oficiais.</w:t>
      </w:r>
    </w:p>
    <w:p w14:paraId="6A292838">
      <w:pPr>
        <w:pStyle w:val="72"/>
        <w:numPr>
          <w:ilvl w:val="0"/>
          <w:numId w:val="31"/>
        </w:numPr>
        <w:suppressAutoHyphens/>
        <w:spacing w:before="240" w:after="240" w:line="360" w:lineRule="auto"/>
        <w:ind w:left="714" w:hanging="357"/>
        <w:contextualSpacing w:val="0"/>
        <w:jc w:val="both"/>
      </w:pPr>
      <w:r>
        <w:t xml:space="preserve">No </w:t>
      </w:r>
      <w:r>
        <w:rPr>
          <w:b/>
          <w:bCs/>
        </w:rPr>
        <w:t>Item 4</w:t>
      </w:r>
      <w:r>
        <w:t>, o valor encontrado no Radar está consideravelmente abaixo dos preços de mercado e encontra-se vencido, evidenciando a necessidade de atualização.</w:t>
      </w:r>
    </w:p>
    <w:p w14:paraId="47F8DBB0">
      <w:pPr>
        <w:pStyle w:val="72"/>
        <w:numPr>
          <w:ilvl w:val="1"/>
          <w:numId w:val="25"/>
        </w:numPr>
        <w:suppressAutoHyphens/>
        <w:spacing w:before="240" w:after="240" w:line="360" w:lineRule="auto"/>
        <w:ind w:left="0" w:firstLine="0"/>
        <w:contextualSpacing w:val="0"/>
        <w:jc w:val="both"/>
      </w:pPr>
      <w:r>
        <w:t>Diante deste cenário, realizou-se uma pesquisa complementar abrangente e local, com a identificação de diversas empresas qualificadas para prestação dos serviços e fornecimento dos equipamentos. Foram encaminhadas solicitações formais de orçamento por e-mail a estes fornecedores, adotando critérios técnicos e comerciais uniformes.</w:t>
      </w:r>
    </w:p>
    <w:p w14:paraId="3110C5A1">
      <w:pPr>
        <w:pStyle w:val="72"/>
        <w:numPr>
          <w:ilvl w:val="1"/>
          <w:numId w:val="25"/>
        </w:numPr>
        <w:suppressAutoHyphens/>
        <w:spacing w:before="240" w:after="240" w:line="360" w:lineRule="auto"/>
        <w:ind w:left="0" w:firstLine="0"/>
        <w:contextualSpacing w:val="0"/>
        <w:jc w:val="both"/>
      </w:pPr>
      <w:r>
        <w:t>Ressalta-se que todos os fornecedores selecionados receberam a mesma solicitação e informações referentes ao objeto. Entretanto, apenas algumas empresas responderam dentro do prazo estipulado, sendo as cotações obtidas destas utilizadas para compor a média final do processo de estimativa de preços.</w:t>
      </w:r>
    </w:p>
    <w:p w14:paraId="6B7A9165">
      <w:pPr>
        <w:pStyle w:val="72"/>
        <w:numPr>
          <w:ilvl w:val="1"/>
          <w:numId w:val="25"/>
        </w:numPr>
        <w:suppressAutoHyphens/>
        <w:spacing w:before="240" w:after="240" w:line="360" w:lineRule="auto"/>
        <w:ind w:left="0" w:firstLine="0"/>
        <w:contextualSpacing w:val="0"/>
        <w:jc w:val="both"/>
      </w:pPr>
      <w:r>
        <w:t>Considerando que os preços públicos encontrados estavam vencidos e, em alguns casos, apresentavam distorções significativas que poderiam prejudicar a competitividade e a adequação do processo licitatório, optou-se por desconsiderar tais preços na composição final. Dessa forma, somente as cotações privadas obtidas na pesquisa direta local foram levadas em consideração para a definição do preço estimado, garantindo maior aderência à realidade atual do mercado e a competitividade do certame, em conformidade com a legislação vigente.</w:t>
      </w:r>
    </w:p>
    <w:p w14:paraId="5828BCB6">
      <w:pPr>
        <w:pStyle w:val="72"/>
        <w:numPr>
          <w:ilvl w:val="1"/>
          <w:numId w:val="25"/>
        </w:numPr>
        <w:suppressAutoHyphens/>
        <w:spacing w:before="240" w:after="240" w:line="360" w:lineRule="auto"/>
        <w:ind w:left="0" w:firstLine="0"/>
        <w:contextualSpacing w:val="0"/>
        <w:jc w:val="both"/>
      </w:pPr>
      <w:r>
        <w:t>A metodologia adotada, portanto, combinou a pesquisa em fontes públicas oficiais com a pesquisa direta de mercado local, garantindo que o valor estimado seja justo, compatível com a realidade econômica atual e em conformidade com a legislação vigente, em especial o Decreto Municipal nº 11.685/2023 e os princípios da economicidade, eficiência e transparência previstos na Lei nº 14.133/2021.</w:t>
      </w:r>
    </w:p>
    <w:p w14:paraId="2DDC770C">
      <w:pPr>
        <w:pStyle w:val="72"/>
        <w:numPr>
          <w:ilvl w:val="0"/>
          <w:numId w:val="25"/>
        </w:numPr>
        <w:suppressAutoHyphens/>
        <w:spacing w:before="240" w:after="240" w:line="360" w:lineRule="auto"/>
        <w:jc w:val="both"/>
        <w:outlineLvl w:val="1"/>
        <w:rPr>
          <w:b/>
          <w:bCs/>
        </w:rPr>
      </w:pPr>
      <w:r>
        <w:rPr>
          <w:b/>
          <w:bCs/>
        </w:rPr>
        <w:t xml:space="preserve">DOTAÇÃO ORÇAMENTÁRIA </w:t>
      </w:r>
    </w:p>
    <w:p w14:paraId="7DCFD488">
      <w:pPr>
        <w:pStyle w:val="72"/>
        <w:numPr>
          <w:ilvl w:val="1"/>
          <w:numId w:val="32"/>
        </w:numPr>
        <w:suppressAutoHyphens/>
        <w:spacing w:before="240" w:after="240" w:line="360" w:lineRule="auto"/>
        <w:jc w:val="both"/>
      </w:pPr>
      <w:r>
        <w:t xml:space="preserve">Os recursos destinados à execução deste objeto correrão por conta da seguinte dotação orçamentária: </w:t>
      </w:r>
    </w:p>
    <w:tbl>
      <w:tblPr>
        <w:tblStyle w:val="12"/>
        <w:tblW w:w="0" w:type="auto"/>
        <w:tblInd w:w="973"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796"/>
        <w:gridCol w:w="5661"/>
      </w:tblGrid>
      <w:tr w14:paraId="4EE01D7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gridSpan w:val="2"/>
          </w:tcPr>
          <w:p w14:paraId="2919690F">
            <w:pPr>
              <w:widowControl w:val="0"/>
              <w:jc w:val="center"/>
              <w:rPr>
                <w:b/>
              </w:rPr>
            </w:pPr>
            <w:r>
              <w:rPr>
                <w:b/>
              </w:rPr>
              <w:t>SECRETARIA MUNICIPAL DE TRANSPORTE E TRÂNSITO – PREVISÃO PARA ESTA DESPESA 2025</w:t>
            </w:r>
          </w:p>
        </w:tc>
      </w:tr>
      <w:tr w14:paraId="3BA50A3C">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06D76734">
            <w:pPr>
              <w:widowControl w:val="0"/>
            </w:pPr>
            <w:r>
              <w:t>Órgão</w:t>
            </w:r>
          </w:p>
        </w:tc>
        <w:tc>
          <w:tcPr>
            <w:tcW w:w="0" w:type="auto"/>
          </w:tcPr>
          <w:p w14:paraId="109EEADE">
            <w:pPr>
              <w:widowControl w:val="0"/>
            </w:pPr>
            <w:r>
              <w:t>02 – Prefeitura Municipal de Rondonópolis</w:t>
            </w:r>
          </w:p>
        </w:tc>
      </w:tr>
      <w:tr w14:paraId="514679D2">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4586737E">
            <w:pPr>
              <w:widowControl w:val="0"/>
            </w:pPr>
            <w:r>
              <w:t>Unidade</w:t>
            </w:r>
          </w:p>
        </w:tc>
        <w:tc>
          <w:tcPr>
            <w:tcW w:w="0" w:type="auto"/>
          </w:tcPr>
          <w:p w14:paraId="52097E7E">
            <w:pPr>
              <w:widowControl w:val="0"/>
            </w:pPr>
            <w:r>
              <w:t>006 – Secretaria Municipal de Transporte e Trânsito</w:t>
            </w:r>
          </w:p>
        </w:tc>
      </w:tr>
      <w:tr w14:paraId="5B36D694">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17BC4329">
            <w:pPr>
              <w:widowControl w:val="0"/>
            </w:pPr>
            <w:r>
              <w:t xml:space="preserve">Funcional Programática </w:t>
            </w:r>
          </w:p>
        </w:tc>
        <w:tc>
          <w:tcPr>
            <w:tcW w:w="0" w:type="auto"/>
          </w:tcPr>
          <w:p w14:paraId="2C693584">
            <w:pPr>
              <w:widowControl w:val="0"/>
            </w:pPr>
            <w:r>
              <w:t xml:space="preserve">26.451.2105.2096 - SINALIZAÇÃO HORIZONTAL E VERTICAL  </w:t>
            </w:r>
          </w:p>
        </w:tc>
      </w:tr>
      <w:tr w14:paraId="57283083">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1D2CC7F">
            <w:pPr>
              <w:widowControl w:val="0"/>
            </w:pPr>
            <w:r>
              <w:t>Elemento de Despesa</w:t>
            </w:r>
          </w:p>
        </w:tc>
        <w:tc>
          <w:tcPr>
            <w:tcW w:w="0" w:type="auto"/>
          </w:tcPr>
          <w:p w14:paraId="6EFC1114">
            <w:pPr>
              <w:widowControl w:val="0"/>
            </w:pPr>
            <w:r>
              <w:t>3.3.90.39 – Outros serviços de Terceiros – Pessoa Jurídica</w:t>
            </w:r>
          </w:p>
        </w:tc>
      </w:tr>
      <w:tr w14:paraId="53FB2EC8">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3BDA025C">
            <w:pPr>
              <w:widowControl w:val="0"/>
            </w:pPr>
            <w:r>
              <w:t>Previsão para esta Despesa</w:t>
            </w:r>
          </w:p>
        </w:tc>
        <w:tc>
          <w:tcPr>
            <w:tcW w:w="0" w:type="auto"/>
          </w:tcPr>
          <w:p w14:paraId="3599450F">
            <w:pPr>
              <w:widowControl w:val="0"/>
              <w:rPr>
                <w:highlight w:val="yellow"/>
              </w:rPr>
            </w:pPr>
            <w:r>
              <w:rPr>
                <w:color w:val="000000"/>
              </w:rPr>
              <w:t>2.714.580,11</w:t>
            </w:r>
          </w:p>
        </w:tc>
      </w:tr>
      <w:tr w14:paraId="4BFFAB36">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63EA2CB">
            <w:pPr>
              <w:widowControl w:val="0"/>
            </w:pPr>
            <w:r>
              <w:t xml:space="preserve">Reduzido </w:t>
            </w:r>
          </w:p>
        </w:tc>
        <w:tc>
          <w:tcPr>
            <w:tcW w:w="0" w:type="auto"/>
          </w:tcPr>
          <w:p w14:paraId="0BF8346B">
            <w:pPr>
              <w:widowControl w:val="0"/>
            </w:pPr>
            <w:r>
              <w:t>112</w:t>
            </w:r>
          </w:p>
        </w:tc>
      </w:tr>
      <w:tr w14:paraId="3B0552BD">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2A581541">
            <w:pPr>
              <w:widowControl w:val="0"/>
            </w:pPr>
            <w:r>
              <w:t xml:space="preserve">Fonte de Recursos </w:t>
            </w:r>
          </w:p>
        </w:tc>
        <w:tc>
          <w:tcPr>
            <w:tcW w:w="0" w:type="auto"/>
          </w:tcPr>
          <w:p w14:paraId="103421E7">
            <w:pPr>
              <w:widowControl w:val="0"/>
            </w:pPr>
            <w:r>
              <w:t>1.501.0000000</w:t>
            </w:r>
          </w:p>
        </w:tc>
      </w:tr>
    </w:tbl>
    <w:p w14:paraId="564402DC">
      <w:pPr>
        <w:spacing w:line="360" w:lineRule="auto"/>
      </w:pPr>
    </w:p>
    <w:tbl>
      <w:tblPr>
        <w:tblStyle w:val="12"/>
        <w:tblW w:w="0" w:type="auto"/>
        <w:tblInd w:w="973" w:type="dxa"/>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Layout w:type="autofit"/>
        <w:tblCellMar>
          <w:top w:w="0" w:type="dxa"/>
          <w:left w:w="108" w:type="dxa"/>
          <w:bottom w:w="0" w:type="dxa"/>
          <w:right w:w="108" w:type="dxa"/>
        </w:tblCellMar>
      </w:tblPr>
      <w:tblGrid>
        <w:gridCol w:w="2788"/>
        <w:gridCol w:w="5669"/>
      </w:tblGrid>
      <w:tr w14:paraId="3B0FD755">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gridSpan w:val="2"/>
          </w:tcPr>
          <w:p w14:paraId="0A2EA8D6">
            <w:pPr>
              <w:widowControl w:val="0"/>
              <w:jc w:val="center"/>
              <w:rPr>
                <w:b/>
              </w:rPr>
            </w:pPr>
            <w:r>
              <w:rPr>
                <w:b/>
              </w:rPr>
              <w:t>SECRETARIA MUNICIPAL DE TRANSPORTE E TRÂNSITO PREVISÃO PARA ESTA DESPESA 2026</w:t>
            </w:r>
          </w:p>
        </w:tc>
      </w:tr>
      <w:tr w14:paraId="58364911">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9C4BD8E">
            <w:pPr>
              <w:widowControl w:val="0"/>
            </w:pPr>
            <w:r>
              <w:t>Órgão</w:t>
            </w:r>
          </w:p>
        </w:tc>
        <w:tc>
          <w:tcPr>
            <w:tcW w:w="0" w:type="auto"/>
          </w:tcPr>
          <w:p w14:paraId="3BA8DD15">
            <w:pPr>
              <w:widowControl w:val="0"/>
            </w:pPr>
            <w:r>
              <w:t>02 – Prefeitura Municipal de Rondonópolis</w:t>
            </w:r>
          </w:p>
        </w:tc>
      </w:tr>
      <w:tr w14:paraId="6D24E790">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359DF43B">
            <w:pPr>
              <w:widowControl w:val="0"/>
            </w:pPr>
            <w:r>
              <w:t>Unidade</w:t>
            </w:r>
          </w:p>
        </w:tc>
        <w:tc>
          <w:tcPr>
            <w:tcW w:w="0" w:type="auto"/>
          </w:tcPr>
          <w:p w14:paraId="07AF5A39">
            <w:pPr>
              <w:widowControl w:val="0"/>
            </w:pPr>
            <w:r>
              <w:t>006 – Secretaria Municipal de Transporte e Trânsito</w:t>
            </w:r>
          </w:p>
        </w:tc>
      </w:tr>
      <w:tr w14:paraId="03027D13">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3BD47B9E">
            <w:pPr>
              <w:widowControl w:val="0"/>
            </w:pPr>
            <w:r>
              <w:t xml:space="preserve">Funcional Programática </w:t>
            </w:r>
          </w:p>
        </w:tc>
        <w:tc>
          <w:tcPr>
            <w:tcW w:w="0" w:type="auto"/>
          </w:tcPr>
          <w:p w14:paraId="6197436C">
            <w:pPr>
              <w:widowControl w:val="0"/>
            </w:pPr>
            <w:r>
              <w:t xml:space="preserve">26.451.2105.2096 - SINALIZAÇÃO HORIZONTAL E VERTICAL  </w:t>
            </w:r>
          </w:p>
        </w:tc>
      </w:tr>
      <w:tr w14:paraId="504E4972">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1184F887">
            <w:pPr>
              <w:widowControl w:val="0"/>
            </w:pPr>
            <w:r>
              <w:t>Elemento de Despesa</w:t>
            </w:r>
          </w:p>
        </w:tc>
        <w:tc>
          <w:tcPr>
            <w:tcW w:w="0" w:type="auto"/>
          </w:tcPr>
          <w:p w14:paraId="353F167B">
            <w:pPr>
              <w:widowControl w:val="0"/>
            </w:pPr>
            <w:r>
              <w:t>3.3.90.39 – Outros serviços de Terceiros – Pessoa Jurídica</w:t>
            </w:r>
          </w:p>
        </w:tc>
      </w:tr>
      <w:tr w14:paraId="77DF841F">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66646F4E">
            <w:pPr>
              <w:widowControl w:val="0"/>
            </w:pPr>
            <w:r>
              <w:t>Previsão para esta Despesa</w:t>
            </w:r>
          </w:p>
        </w:tc>
        <w:tc>
          <w:tcPr>
            <w:tcW w:w="0" w:type="auto"/>
          </w:tcPr>
          <w:p w14:paraId="360EFBD2">
            <w:pPr>
              <w:widowControl w:val="0"/>
            </w:pPr>
            <w:r>
              <w:t>12.654.174,48</w:t>
            </w:r>
          </w:p>
        </w:tc>
      </w:tr>
      <w:tr w14:paraId="4891D119">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54DC9B7C">
            <w:pPr>
              <w:widowControl w:val="0"/>
            </w:pPr>
            <w:r>
              <w:t xml:space="preserve">Reduzido </w:t>
            </w:r>
          </w:p>
        </w:tc>
        <w:tc>
          <w:tcPr>
            <w:tcW w:w="0" w:type="auto"/>
          </w:tcPr>
          <w:p w14:paraId="2E45D890">
            <w:pPr>
              <w:widowControl w:val="0"/>
            </w:pPr>
            <w:r>
              <w:t>112</w:t>
            </w:r>
          </w:p>
        </w:tc>
      </w:tr>
      <w:tr w14:paraId="24362963">
        <w:tblPrEx>
          <w:tblBorders>
            <w:top w:val="double" w:color="auto" w:sz="4" w:space="0"/>
            <w:left w:val="double" w:color="auto" w:sz="4" w:space="0"/>
            <w:bottom w:val="double" w:color="auto" w:sz="4" w:space="0"/>
            <w:right w:val="double" w:color="auto" w:sz="4" w:space="0"/>
            <w:insideH w:val="double" w:color="auto" w:sz="4" w:space="0"/>
            <w:insideV w:val="double" w:color="auto" w:sz="4" w:space="0"/>
          </w:tblBorders>
          <w:tblCellMar>
            <w:top w:w="0" w:type="dxa"/>
            <w:left w:w="108" w:type="dxa"/>
            <w:bottom w:w="0" w:type="dxa"/>
            <w:right w:w="108" w:type="dxa"/>
          </w:tblCellMar>
        </w:tblPrEx>
        <w:trPr>
          <w:trHeight w:val="227" w:hRule="atLeast"/>
        </w:trPr>
        <w:tc>
          <w:tcPr>
            <w:tcW w:w="0" w:type="auto"/>
          </w:tcPr>
          <w:p w14:paraId="1D0F7C2F">
            <w:pPr>
              <w:widowControl w:val="0"/>
            </w:pPr>
            <w:r>
              <w:t xml:space="preserve">Fonte de Recursos </w:t>
            </w:r>
          </w:p>
        </w:tc>
        <w:tc>
          <w:tcPr>
            <w:tcW w:w="0" w:type="auto"/>
          </w:tcPr>
          <w:p w14:paraId="761BD137">
            <w:pPr>
              <w:widowControl w:val="0"/>
            </w:pPr>
            <w:r>
              <w:t>1.501.0000000</w:t>
            </w:r>
          </w:p>
        </w:tc>
      </w:tr>
    </w:tbl>
    <w:p w14:paraId="0EB81A46">
      <w:pPr>
        <w:pStyle w:val="72"/>
        <w:suppressAutoHyphens/>
        <w:spacing w:before="240" w:after="240" w:line="360" w:lineRule="auto"/>
        <w:ind w:left="0"/>
        <w:jc w:val="both"/>
      </w:pPr>
      <w:r>
        <w:t>30.2. A dotação relativa aos exercícios financeiros subsequentes será indicada após aprovação da Lei Orçamentária respectiva e liberação dos créditos correspondentes, mediante apostilamento, observando-se o que dispõe o artigo 106, da Lei 14.133/2021.</w:t>
      </w:r>
    </w:p>
    <w:p w14:paraId="47D4B08B">
      <w:pPr>
        <w:pStyle w:val="72"/>
        <w:spacing w:before="240" w:after="240" w:line="360" w:lineRule="auto"/>
        <w:ind w:left="0"/>
      </w:pPr>
    </w:p>
    <w:p w14:paraId="4585986A">
      <w:pPr>
        <w:pStyle w:val="72"/>
        <w:numPr>
          <w:ilvl w:val="0"/>
          <w:numId w:val="32"/>
        </w:numPr>
        <w:suppressAutoHyphens/>
        <w:spacing w:before="240" w:after="240" w:line="360" w:lineRule="auto"/>
        <w:jc w:val="both"/>
        <w:outlineLvl w:val="1"/>
        <w:rPr>
          <w:b/>
          <w:bCs/>
        </w:rPr>
      </w:pPr>
      <w:r>
        <w:rPr>
          <w:b/>
          <w:bCs/>
        </w:rPr>
        <w:t>DO FORO</w:t>
      </w:r>
    </w:p>
    <w:p w14:paraId="31350522">
      <w:pPr>
        <w:pStyle w:val="72"/>
        <w:spacing w:before="240" w:after="240" w:line="360" w:lineRule="auto"/>
        <w:ind w:left="360"/>
        <w:rPr>
          <w:b/>
          <w:bCs/>
        </w:rPr>
      </w:pPr>
    </w:p>
    <w:p w14:paraId="5A12AF09">
      <w:pPr>
        <w:pStyle w:val="72"/>
        <w:numPr>
          <w:ilvl w:val="1"/>
          <w:numId w:val="32"/>
        </w:numPr>
        <w:suppressAutoHyphens/>
        <w:spacing w:before="240" w:after="240" w:line="360" w:lineRule="auto"/>
        <w:ind w:left="0" w:firstLine="0"/>
        <w:contextualSpacing w:val="0"/>
        <w:jc w:val="both"/>
      </w:pPr>
      <w:r>
        <w:t xml:space="preserve">Fica eleito o foro da Comarca de Rondonópolis, como o único capaz de dirimir as dúvidas do Contrato caso não sejam dirimidas amigavelmente. </w:t>
      </w:r>
    </w:p>
    <w:p w14:paraId="5C01BAAE">
      <w:pPr>
        <w:spacing w:after="120"/>
        <w:jc w:val="center"/>
        <w:rPr>
          <w:b/>
          <w:bCs/>
        </w:rPr>
      </w:pPr>
    </w:p>
    <w:p w14:paraId="773C0D03">
      <w:pPr>
        <w:spacing w:after="120"/>
        <w:jc w:val="center"/>
      </w:pPr>
      <w:r>
        <w:rPr>
          <w:b/>
          <w:bCs/>
        </w:rPr>
        <w:t>THALES TATÍ GONÇALVES VICENTE</w:t>
      </w:r>
    </w:p>
    <w:p w14:paraId="55CC1271">
      <w:pPr>
        <w:spacing w:after="120"/>
        <w:jc w:val="center"/>
      </w:pPr>
      <w:r>
        <w:t>Secretário Municipal de Mobilidade Urbana</w:t>
      </w:r>
    </w:p>
    <w:p w14:paraId="12CA8F71">
      <w:pPr>
        <w:spacing w:after="120"/>
        <w:jc w:val="center"/>
      </w:pPr>
    </w:p>
    <w:p w14:paraId="58F5A90F">
      <w:pPr>
        <w:spacing w:after="120"/>
        <w:jc w:val="center"/>
      </w:pPr>
      <w:r>
        <w:br w:type="page"/>
      </w:r>
    </w:p>
    <w:p w14:paraId="7202B40B">
      <w:pPr>
        <w:spacing w:after="120"/>
        <w:jc w:val="center"/>
      </w:pPr>
    </w:p>
    <w:p w14:paraId="208D0708">
      <w:pPr>
        <w:pStyle w:val="2"/>
        <w:jc w:val="center"/>
        <w:rPr>
          <w:rFonts w:ascii="Arial" w:hAnsi="Arial" w:eastAsia="Arial" w:cs="Arial"/>
          <w:b/>
          <w:color w:val="000000"/>
          <w:sz w:val="24"/>
          <w:szCs w:val="24"/>
        </w:rPr>
      </w:pPr>
      <w:r>
        <w:rPr>
          <w:rFonts w:ascii="Arial" w:hAnsi="Arial" w:eastAsia="Arial" w:cs="Arial"/>
          <w:b/>
          <w:color w:val="000000"/>
          <w:sz w:val="24"/>
          <w:szCs w:val="24"/>
        </w:rPr>
        <w:t xml:space="preserve">ANEXO VIII - </w:t>
      </w:r>
      <w:r>
        <w:rPr>
          <w:rFonts w:ascii="Arial" w:hAnsi="Arial" w:eastAsia="Arial" w:cs="Arial"/>
          <w:b/>
          <w:color w:val="000000"/>
          <w:sz w:val="24"/>
          <w:szCs w:val="24"/>
        </w:rPr>
        <w:br w:type="textWrapping"/>
      </w:r>
      <w:r>
        <w:rPr>
          <w:rFonts w:ascii="Arial" w:hAnsi="Arial" w:eastAsia="Arial" w:cs="Arial"/>
          <w:b/>
          <w:color w:val="000000"/>
          <w:sz w:val="24"/>
          <w:szCs w:val="24"/>
        </w:rPr>
        <w:t>PROVA DE CONCEITO (POC)</w:t>
      </w:r>
    </w:p>
    <w:p w14:paraId="78A64778">
      <w:pPr>
        <w:spacing w:before="240"/>
        <w:jc w:val="both"/>
      </w:pPr>
      <w:r>
        <w:t xml:space="preserve">Instalação de um campo para testes no município de Rondonópolis; </w:t>
      </w:r>
    </w:p>
    <w:p w14:paraId="1E10ADD9">
      <w:pPr>
        <w:spacing w:before="240"/>
        <w:jc w:val="both"/>
      </w:pPr>
      <w:r>
        <w:t>A Prova de Conceito (PoC) deverá ser no município de Rondonópolis-MT. Todos os custos relacionados à sua implementação, incluindo infraestrutura, logística, equipamentos, mão de obra e quaisquer outros necessários à realização da PoC, serão integralmente de responsabilidade da LICITANTE.</w:t>
      </w:r>
    </w:p>
    <w:p w14:paraId="00EA1D00">
      <w:pPr>
        <w:spacing w:before="240"/>
        <w:jc w:val="both"/>
      </w:pPr>
      <w:r>
        <w:t xml:space="preserve">Os exames práticos serão realizados de acordo com as especificações técnicas previstas no Termo de Referência, Projeto Básico e critérios de julgamento técnico. </w:t>
      </w:r>
    </w:p>
    <w:p w14:paraId="30674133">
      <w:pPr>
        <w:spacing w:before="240"/>
        <w:jc w:val="both"/>
      </w:pPr>
      <w:r>
        <w:t xml:space="preserve">A LICITANTE poderá ser solicitada, a qualquer tempo, durante os períodos dos testes a apresentar quaisquer características solicitadas como mínimas e obrigatórias, de acordo com o edital e seus anexos. </w:t>
      </w:r>
    </w:p>
    <w:p w14:paraId="043CFDDA">
      <w:pPr>
        <w:spacing w:before="240"/>
        <w:jc w:val="both"/>
      </w:pPr>
      <w:r>
        <w:t>Serão apurados os índices de reconhecimento de placas, aproveitamento técnico de imagens válidas e classificação correta de veículos nas categorias, de acordo com a oferta da LICITANTE e de acordo com o mínimo estabelecido nas especificações técnicas do termo de referência.</w:t>
      </w:r>
    </w:p>
    <w:p w14:paraId="32E33547">
      <w:pPr>
        <w:spacing w:before="240"/>
        <w:jc w:val="both"/>
      </w:pPr>
      <w:r>
        <w:t xml:space="preserve">Caso haja verificação de índices inferiores aos estabelecidos como mínimos obrigatórios, de acordo com o Projeto Básico, a LICITANTE será considerada desclassificada. </w:t>
      </w:r>
    </w:p>
    <w:p w14:paraId="517FB2E8">
      <w:pPr>
        <w:spacing w:before="240"/>
        <w:jc w:val="both"/>
      </w:pPr>
      <w:r>
        <w:t xml:space="preserve">Caso haja verificação de índices inferiores aos apresentados na proposta da LICITANTE, esta será considerada desclassificada. </w:t>
      </w:r>
    </w:p>
    <w:p w14:paraId="2AFF42C4">
      <w:pPr>
        <w:spacing w:before="240"/>
        <w:jc w:val="both"/>
      </w:pPr>
      <w:r>
        <w:t xml:space="preserve">A licitante classificada deverá apresentar os equipamentos conforme descritos abaixo: </w:t>
      </w:r>
    </w:p>
    <w:p w14:paraId="1DB11825">
      <w:pPr>
        <w:numPr>
          <w:ilvl w:val="0"/>
          <w:numId w:val="33"/>
        </w:numPr>
        <w:pBdr>
          <w:top w:val="none" w:color="auto" w:sz="0" w:space="0"/>
          <w:left w:val="none" w:color="auto" w:sz="0" w:space="0"/>
          <w:bottom w:val="none" w:color="auto" w:sz="0" w:space="0"/>
          <w:right w:val="none" w:color="auto" w:sz="0" w:space="0"/>
          <w:between w:val="none" w:color="auto" w:sz="0" w:space="0"/>
        </w:pBdr>
        <w:spacing w:before="240"/>
        <w:jc w:val="both"/>
        <w:rPr>
          <w:color w:val="000000"/>
        </w:rPr>
      </w:pPr>
      <w:r>
        <w:rPr>
          <w:color w:val="000000"/>
        </w:rPr>
        <w:t xml:space="preserve">01 (um) equipamento de 2 (duas) Faixas para fiscalização eletrônica de trânsito de avanço de sinal vermelho e parada sobre faixa de travessia de pedestres; </w:t>
      </w:r>
    </w:p>
    <w:p w14:paraId="2DF80D19">
      <w:pPr>
        <w:numPr>
          <w:ilvl w:val="0"/>
          <w:numId w:val="33"/>
        </w:numPr>
        <w:pBdr>
          <w:top w:val="none" w:color="auto" w:sz="0" w:space="0"/>
          <w:left w:val="none" w:color="auto" w:sz="0" w:space="0"/>
          <w:bottom w:val="none" w:color="auto" w:sz="0" w:space="0"/>
          <w:right w:val="none" w:color="auto" w:sz="0" w:space="0"/>
          <w:between w:val="none" w:color="auto" w:sz="0" w:space="0"/>
        </w:pBdr>
        <w:jc w:val="both"/>
        <w:rPr>
          <w:color w:val="000000"/>
        </w:rPr>
      </w:pPr>
      <w:r>
        <w:rPr>
          <w:color w:val="000000"/>
        </w:rPr>
        <w:t xml:space="preserve">01 (um) equipamento de 2 (duas) Faixas para fiscalização eletrônica de trânsito – radar de velocidade fixa com LAP; </w:t>
      </w:r>
    </w:p>
    <w:p w14:paraId="201B40C4">
      <w:pPr>
        <w:numPr>
          <w:ilvl w:val="0"/>
          <w:numId w:val="33"/>
        </w:numPr>
        <w:pBdr>
          <w:top w:val="none" w:color="auto" w:sz="0" w:space="0"/>
          <w:left w:val="none" w:color="auto" w:sz="0" w:space="0"/>
          <w:bottom w:val="none" w:color="auto" w:sz="0" w:space="0"/>
          <w:right w:val="none" w:color="auto" w:sz="0" w:space="0"/>
          <w:between w:val="none" w:color="auto" w:sz="0" w:space="0"/>
        </w:pBdr>
        <w:jc w:val="both"/>
        <w:rPr>
          <w:color w:val="000000"/>
        </w:rPr>
      </w:pPr>
      <w:r>
        <w:rPr>
          <w:color w:val="000000"/>
        </w:rPr>
        <w:t>01 (um) equipamento Educativo de 2 (duas) Faixas para controle e monitoramento de velocidade, equipado com câmera para leitura LPR.</w:t>
      </w:r>
    </w:p>
    <w:p w14:paraId="50905A05">
      <w:pPr>
        <w:numPr>
          <w:ilvl w:val="0"/>
          <w:numId w:val="33"/>
        </w:numPr>
        <w:pBdr>
          <w:top w:val="none" w:color="auto" w:sz="0" w:space="0"/>
          <w:left w:val="none" w:color="auto" w:sz="0" w:space="0"/>
          <w:bottom w:val="none" w:color="auto" w:sz="0" w:space="0"/>
          <w:right w:val="none" w:color="auto" w:sz="0" w:space="0"/>
          <w:between w:val="none" w:color="auto" w:sz="0" w:space="0"/>
        </w:pBdr>
        <w:jc w:val="both"/>
        <w:rPr>
          <w:color w:val="000000"/>
        </w:rPr>
      </w:pPr>
      <w:r>
        <w:rPr>
          <w:color w:val="000000"/>
        </w:rPr>
        <w:t>01 (um) Equipamento/sistema de 2 (duas) faixas controle de zona máxima de restrição de veículos</w:t>
      </w:r>
    </w:p>
    <w:p w14:paraId="4CDA6235">
      <w:pPr>
        <w:spacing w:before="240"/>
        <w:jc w:val="both"/>
      </w:pPr>
      <w:r>
        <w:t xml:space="preserve">Não será permitida substituição, troca, alteração ou correção do software residente no equipamento após o início dos testes, bem como rompimento do lacre. </w:t>
      </w:r>
    </w:p>
    <w:p w14:paraId="70F676C6">
      <w:pPr>
        <w:spacing w:before="240"/>
        <w:jc w:val="both"/>
      </w:pPr>
      <w:r>
        <w:t xml:space="preserve">Todos os custos relativos à instalação dos equipamentos para esta avaliação, bem como os custos relativos à telecomunicação e alimentação elétrica deverão estar previstos e igualmente instalados pela LICITANTE no intuito de comprovar a operação das funcionalidades exigidas por este pleito. </w:t>
      </w:r>
    </w:p>
    <w:p w14:paraId="3A377CDF">
      <w:pPr>
        <w:spacing w:before="240"/>
        <w:jc w:val="both"/>
      </w:pPr>
      <w:r>
        <w:t xml:space="preserve">Os equipamentos instalados para avaliação deverão corresponder integralmente àqueles ofertados pelo licitante. Se vier a ser constatado, através dos procedimentos da avaliação que o equipamento utilizado pela licitante não atende as características técnicas solicitadas, ou diverge daquelas constantes em sua proposta de preços, a licitante será imediatamente desclassificada. </w:t>
      </w:r>
    </w:p>
    <w:p w14:paraId="7DBE430F">
      <w:pPr>
        <w:spacing w:before="240"/>
        <w:jc w:val="both"/>
      </w:pPr>
      <w:r>
        <w:t xml:space="preserve">Se houver a necessidade de manutenção no equipamento e/ou software durante os testes, essa manutenção estará limitada a 2 (dois) pedidos de manutenção por equipamento durante os 2 (dois) dias de teste e desde que não envolva uma nova aferição pelo INMETRO.  </w:t>
      </w:r>
    </w:p>
    <w:p w14:paraId="071FA4AB">
      <w:pPr>
        <w:spacing w:before="240"/>
        <w:jc w:val="both"/>
      </w:pPr>
      <w:r>
        <w:t>A licitante deverá fazer solicitação formal à SETRAT, descrevendo de maneira clara e objetiva os motivos para tal; após análise do pedido, a SETRAT acatará ou não o pedido.</w:t>
      </w:r>
    </w:p>
    <w:p w14:paraId="63FCDE4E">
      <w:pPr>
        <w:spacing w:before="240"/>
        <w:jc w:val="both"/>
      </w:pPr>
      <w:r>
        <w:t xml:space="preserve">A licitante deverá demonstrar online através da WEB, os seguintes aplicativos/sistemas conforme exigências presentes neste instrumento e seus anexos: </w:t>
      </w:r>
    </w:p>
    <w:p w14:paraId="76E93A4A">
      <w:pPr>
        <w:numPr>
          <w:ilvl w:val="0"/>
          <w:numId w:val="33"/>
        </w:numPr>
        <w:pBdr>
          <w:top w:val="none" w:color="auto" w:sz="0" w:space="0"/>
          <w:left w:val="none" w:color="auto" w:sz="0" w:space="0"/>
          <w:bottom w:val="none" w:color="auto" w:sz="0" w:space="0"/>
          <w:right w:val="none" w:color="auto" w:sz="0" w:space="0"/>
          <w:between w:val="none" w:color="auto" w:sz="0" w:space="0"/>
        </w:pBdr>
        <w:jc w:val="both"/>
        <w:rPr>
          <w:color w:val="000000"/>
        </w:rPr>
      </w:pPr>
      <w:r>
        <w:rPr>
          <w:color w:val="000000"/>
        </w:rPr>
        <w:t>01 (um) sistema de Fluxo Veicular e Estatística On-Line;</w:t>
      </w:r>
    </w:p>
    <w:p w14:paraId="6C6E0E8F">
      <w:pPr>
        <w:numPr>
          <w:ilvl w:val="0"/>
          <w:numId w:val="33"/>
        </w:numPr>
        <w:pBdr>
          <w:top w:val="none" w:color="auto" w:sz="0" w:space="0"/>
          <w:left w:val="none" w:color="auto" w:sz="0" w:space="0"/>
          <w:bottom w:val="none" w:color="auto" w:sz="0" w:space="0"/>
          <w:right w:val="none" w:color="auto" w:sz="0" w:space="0"/>
          <w:between w:val="none" w:color="auto" w:sz="0" w:space="0"/>
        </w:pBdr>
        <w:jc w:val="both"/>
        <w:rPr>
          <w:color w:val="000000"/>
        </w:rPr>
      </w:pPr>
      <w:r>
        <w:rPr>
          <w:color w:val="000000"/>
        </w:rPr>
        <w:t>01 (um) sistema de inteligência Analítica - BI</w:t>
      </w:r>
    </w:p>
    <w:p w14:paraId="55317085">
      <w:pPr>
        <w:numPr>
          <w:ilvl w:val="0"/>
          <w:numId w:val="33"/>
        </w:numPr>
        <w:pBdr>
          <w:top w:val="none" w:color="auto" w:sz="0" w:space="0"/>
          <w:left w:val="none" w:color="auto" w:sz="0" w:space="0"/>
          <w:bottom w:val="none" w:color="auto" w:sz="0" w:space="0"/>
          <w:right w:val="none" w:color="auto" w:sz="0" w:space="0"/>
          <w:between w:val="none" w:color="auto" w:sz="0" w:space="0"/>
        </w:pBdr>
        <w:jc w:val="both"/>
        <w:rPr>
          <w:color w:val="000000"/>
        </w:rPr>
      </w:pPr>
      <w:r>
        <w:rPr>
          <w:color w:val="000000"/>
        </w:rPr>
        <w:t xml:space="preserve">01 (um) aplicativo denominado processamento e apoio a JARI. </w:t>
      </w:r>
    </w:p>
    <w:p w14:paraId="64B67FCC">
      <w:pPr>
        <w:spacing w:before="240"/>
        <w:jc w:val="both"/>
      </w:pPr>
      <w:r>
        <w:t xml:space="preserve">O prazo para a instalação de todos os equipamentos de radares bem como da disponibilização dos sistemas controle de circulação veicular e sistema de gestão de incidentes para avaliação, será de 15 (quinze) dias corridos a partir da divulgação do local/trecho por técnicos designados pela SETRAT. </w:t>
      </w:r>
    </w:p>
    <w:p w14:paraId="48519B03">
      <w:pPr>
        <w:spacing w:before="240"/>
        <w:jc w:val="both"/>
      </w:pPr>
      <w:r>
        <w:t xml:space="preserve">Terminado o prazo de instalação, os equipamentos serão lacrados, devendo permanecer assim até a data da avaliação, os equipamentos metrológicos só terão seus testes iniciados após a aferição dos mesmos pelo INMETRO. Os equipamentos instalados para avaliação deverão corresponder integralmente àqueles ofertados pelo licitante. Se vier a ser constatado, através dos procedimentos da avaliação que o equipamento utilizado pela licitante não atende as características técnicas solicitadas, ou diverge daquelas constantes em sua proposta de preços, a licitante será imediatamente desclassificada. </w:t>
      </w:r>
    </w:p>
    <w:p w14:paraId="7DB49D20">
      <w:pPr>
        <w:spacing w:before="240"/>
        <w:jc w:val="both"/>
      </w:pPr>
      <w:r>
        <w:t xml:space="preserve">Se houver a necessidade de manutenção no equipamento e/ou software durante os testes, essa manutenção estará limitada a uma durante todo o período de testes e desde que não envolva uma nova aferição pelo INMETRO. </w:t>
      </w:r>
    </w:p>
    <w:p w14:paraId="14FCC911">
      <w:pPr>
        <w:spacing w:before="240"/>
        <w:jc w:val="both"/>
      </w:pPr>
      <w:r>
        <w:t xml:space="preserve">A licitante deverá fazer solicitação formal à SETRAT, descrevendo de maneira clara e objetiva os motivos para tal; após análise do pedido, a SETRAT acatará ou não o pedido. </w:t>
      </w:r>
    </w:p>
    <w:p w14:paraId="40BA4F24">
      <w:pPr>
        <w:spacing w:before="240"/>
        <w:jc w:val="both"/>
      </w:pPr>
      <w:r>
        <w:t>O período de testes para os equipamentos metrológicos e híbridos, após a aferição pelo INMETRO e lacre pela SETRAT será de 2 (dois) dias corridos de funcionamento.</w:t>
      </w:r>
    </w:p>
    <w:p w14:paraId="467AFA3C">
      <w:pPr>
        <w:spacing w:before="240"/>
        <w:jc w:val="both"/>
      </w:pPr>
      <w:r>
        <w:t>Os demais sistemas serão testados em 2 (dois) dias corridos de funcionamento.</w:t>
      </w:r>
    </w:p>
    <w:p w14:paraId="76DEA7AF">
      <w:pPr>
        <w:spacing w:before="240"/>
        <w:jc w:val="both"/>
      </w:pPr>
      <w:r>
        <w:t xml:space="preserve">A avaliação dos sistemas/equipamentos será realizada com a empresa que apresentar o menor preços válido e previamente classificado, bem como, atender a todos requisitos de habilitação. </w:t>
      </w:r>
    </w:p>
    <w:p w14:paraId="56D3E740">
      <w:pPr>
        <w:spacing w:before="240"/>
        <w:jc w:val="both"/>
      </w:pPr>
      <w:r>
        <w:t xml:space="preserve">A comissão de avaliação técnica, designada pela Secretaria Municipal de Mobilidade Urbana de Rondonópolis – SETRAT, avaliará os equipamentos em campo nos períodos: diurno e noturno. </w:t>
      </w:r>
    </w:p>
    <w:p w14:paraId="1A5B53B3">
      <w:pPr>
        <w:spacing w:before="240"/>
        <w:jc w:val="both"/>
      </w:pPr>
      <w:r>
        <w:t xml:space="preserve">A empresa vencedora não poderá realizar modificações nos sistemas durante os testes. </w:t>
      </w:r>
    </w:p>
    <w:p w14:paraId="3CA6BE83">
      <w:pPr>
        <w:spacing w:before="240"/>
        <w:jc w:val="both"/>
      </w:pPr>
      <w:r>
        <w:t xml:space="preserve">Para demonstração das funcionalidades do sistema, o mesmo deverá ser acessado através de conexão de dados remota estabelecida com um WEBsite através da internet.  </w:t>
      </w:r>
    </w:p>
    <w:p w14:paraId="63E7822D">
      <w:pPr>
        <w:spacing w:before="240"/>
        <w:jc w:val="both"/>
      </w:pPr>
      <w:r>
        <w:t xml:space="preserve">A Secretaria Municipal de Mobilidade Urbana de Rondonópolis – SETRAT disponibilizará sala e fornecerá somente energia elétrica e internet para a demonstração dos sistemas a serem avaliados. </w:t>
      </w:r>
    </w:p>
    <w:p w14:paraId="4379E957">
      <w:pPr>
        <w:spacing w:before="240"/>
        <w:jc w:val="both"/>
      </w:pPr>
      <w:r>
        <w:t xml:space="preserve">O sistema de gerenciamento das informações de Trânsito deverá possuir antes do início dos testes uma carga de dados equivalente à 3.000 (três mil) informações de autuações de trânsito em diferentes status de processamento, contendo autuações de equipamento eletrônico, simulando que o sistema tenha capacidade para atender os requisitos. </w:t>
      </w:r>
    </w:p>
    <w:p w14:paraId="36F98526">
      <w:pPr>
        <w:spacing w:before="240"/>
        <w:jc w:val="both"/>
      </w:pPr>
      <w:r>
        <w:t xml:space="preserve">O sistema de gerenciamento das informações de Trânsito deverá possuir antes do início dos testes uma carga de dados equivalente à 800 (oitocentos) informações de recursos, simulando que o sistema tenha a capacidade de atender os requisitos. </w:t>
      </w:r>
    </w:p>
    <w:p w14:paraId="1D75D4C7">
      <w:pPr>
        <w:spacing w:before="240"/>
        <w:jc w:val="both"/>
      </w:pPr>
      <w:r>
        <w:t xml:space="preserve">A entrada e saída de dados dos sistemas poderão ocorrer a qualquer momento, mediante a decisão da comissão técnica e ou equipe responsável, mediante decisão da comissão técnica ou equipe responsável. </w:t>
      </w:r>
    </w:p>
    <w:p w14:paraId="4C70A531">
      <w:pPr>
        <w:spacing w:before="240"/>
        <w:jc w:val="both"/>
      </w:pPr>
      <w:r>
        <w:t xml:space="preserve">O backup dos dados gerados pelos equipamentos em teste, deverá ser de responsabilidade da empresa vencedora. </w:t>
      </w:r>
    </w:p>
    <w:p w14:paraId="187E2CE8">
      <w:pPr>
        <w:spacing w:before="240"/>
        <w:jc w:val="both"/>
      </w:pPr>
      <w:r>
        <w:t>A qualquer momento a comissão técnica poderá solicitar a recuperação dos dados de backup.</w:t>
      </w:r>
    </w:p>
    <w:p w14:paraId="3B8D8D88">
      <w:pPr>
        <w:spacing w:before="240"/>
        <w:jc w:val="both"/>
      </w:pPr>
      <w:r>
        <w:t xml:space="preserve">A comissão técnica juntamente com a área responsável, avaliará os equipamentos em campo nos períodos diurno e noturno. </w:t>
      </w:r>
    </w:p>
    <w:p w14:paraId="407B7EA9">
      <w:pPr>
        <w:spacing w:before="240"/>
        <w:jc w:val="both"/>
      </w:pPr>
      <w:r>
        <w:t xml:space="preserve">A instalação dos equipamentos será definida pela comissão técnica com disponibilidade de energia elétrica. </w:t>
      </w:r>
    </w:p>
    <w:p w14:paraId="5CB6F495">
      <w:pPr>
        <w:spacing w:before="240"/>
        <w:jc w:val="both"/>
      </w:pPr>
      <w:r>
        <w:t xml:space="preserve">Para os testes de avaliação, serão monitorados apenas 2 (duas) faixas de rolamento para cada ponto de instalação, mesmo que a via selecionada para teste possua mais faixas de rolamento. </w:t>
      </w:r>
    </w:p>
    <w:p w14:paraId="71D1D423">
      <w:pPr>
        <w:spacing w:before="240"/>
        <w:jc w:val="both"/>
      </w:pPr>
      <w:r>
        <w:t xml:space="preserve">Os registros de imagens efetuados no teste em campo, não serão utilizados para geração de autuação dos veículos, serão utilizados apenas para validação das especificações técnicas. </w:t>
      </w:r>
    </w:p>
    <w:p w14:paraId="19C44505">
      <w:pPr>
        <w:spacing w:before="240"/>
        <w:jc w:val="both"/>
      </w:pPr>
      <w:r>
        <w:t xml:space="preserve">A empresa vencedora deverá disponibilizar equipe capacitada para realizar os testes em campo, além de acompanhar as vistorias que se fizerem necessárias. </w:t>
      </w:r>
    </w:p>
    <w:p w14:paraId="19987F80">
      <w:pPr>
        <w:spacing w:before="240"/>
        <w:jc w:val="both"/>
      </w:pPr>
      <w:r>
        <w:t xml:space="preserve">A constatação do não atendimento a qualquer item ou subitem exigido nas especificações técnicas e a reprovação dos sistemas/equipamentos, implicará na desclassificação da vencedora. </w:t>
      </w:r>
    </w:p>
    <w:p w14:paraId="0A600B33">
      <w:pPr>
        <w:spacing w:before="240"/>
        <w:jc w:val="both"/>
      </w:pPr>
      <w:r>
        <w:t>A Secretaria Municipal de Mobilidade Urbana de Rondonópolis – SETRAT, estabelecerá cronograma para realização dos testes, contemplando a implantação e operações dos equipamentos.</w:t>
      </w:r>
    </w:p>
    <w:p w14:paraId="219A51C3">
      <w:pPr>
        <w:spacing w:before="240"/>
        <w:jc w:val="both"/>
      </w:pPr>
      <w:r>
        <w:t xml:space="preserve">A Secretaria Municipal de Mobilidade Urbana de Rondonópolis – SETRAT, efetuará o lacre da caixa que contém o equipamento ofertado para teste, sendo que o mesmo só poderá ser rompido com a autorização da comissão de avaliação técnica, o rompimento do lacre sem a devida autorização implica na desclassificação da empresa. </w:t>
      </w:r>
    </w:p>
    <w:p w14:paraId="383F5C17">
      <w:pPr>
        <w:spacing w:before="240"/>
        <w:jc w:val="both"/>
      </w:pPr>
      <w:r>
        <w:t xml:space="preserve">Serão avaliadas as atividades do equipamento em teste levando em consideração os itens abaixo:  </w:t>
      </w:r>
    </w:p>
    <w:p w14:paraId="71BCA54F">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O equipamento fixo de controle de velocidade deve detectar a presença do veículo, medir a velocidade, efetuar a leitura da placa (se utilizar essa tecnologia), registrar a imagem, armazenar a imagem e transmitir a imagem para o terminal instalado no departamento de Trânsito. </w:t>
      </w:r>
    </w:p>
    <w:p w14:paraId="6D1EC86C">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O equipamento fixo de controle de restrição veicular deve detectar a presença do veículo pela quantidade de eixos, contagem volumétrica, Contagem classificatória estatística e pesagem estatística (por eixo e PBT) registrar e armazenar a imagem. </w:t>
      </w:r>
    </w:p>
    <w:p w14:paraId="50FBD9D5">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O equipamento fixo de avanço semafórico e parada sobre a faixa deve detectar o veículo infrator, registrar e armazenar a imagem. </w:t>
      </w:r>
    </w:p>
    <w:p w14:paraId="68E0B14B">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O equipamento de controle de velocidade portátil deve detectar o veículo, medir velocidade, registrar e armazenar a imagem. </w:t>
      </w:r>
    </w:p>
    <w:p w14:paraId="0EFE8030">
      <w:pPr>
        <w:spacing w:before="240"/>
        <w:jc w:val="both"/>
      </w:pPr>
      <w:r>
        <w:t xml:space="preserve">As imagens registradas devem ser numeradas sequencialmente. </w:t>
      </w:r>
    </w:p>
    <w:p w14:paraId="5488612A">
      <w:pPr>
        <w:spacing w:before="240"/>
        <w:jc w:val="both"/>
      </w:pPr>
      <w:r>
        <w:t xml:space="preserve">O nome da imagem registrada deve compor o número da imagem, a placa lida pelo sistema, a data e o horário (HH:MM:SS). </w:t>
      </w:r>
    </w:p>
    <w:p w14:paraId="0F047D26">
      <w:pPr>
        <w:spacing w:before="240"/>
        <w:jc w:val="both"/>
      </w:pPr>
      <w:r>
        <w:t xml:space="preserve">Deverá ser feita a demonstração da configuração, à distância, dos parâmetros abaixo: </w:t>
      </w:r>
    </w:p>
    <w:p w14:paraId="3A41DC11">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Horários permitidos; </w:t>
      </w:r>
    </w:p>
    <w:p w14:paraId="0BA45A09">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Tipo de veículos a ser autuado; </w:t>
      </w:r>
    </w:p>
    <w:p w14:paraId="3B1EC74A">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Dia da Semana. </w:t>
      </w:r>
    </w:p>
    <w:p w14:paraId="26D02851">
      <w:pPr>
        <w:spacing w:before="240"/>
        <w:jc w:val="both"/>
      </w:pPr>
      <w:r>
        <w:t xml:space="preserve">A avaliação das imagens consistirá conforme itens abaixo: </w:t>
      </w:r>
    </w:p>
    <w:p w14:paraId="1AA77B60">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Até o segundo dia após o término dos testes, a vencedora deverá entregar para comissão técnica, em mídia digital, a gravação de todas as imagens capturadas e os dados estatísticos. </w:t>
      </w:r>
    </w:p>
    <w:p w14:paraId="2634E473">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Não será permitido o tratamento e ou alteração das imagens. </w:t>
      </w:r>
    </w:p>
    <w:p w14:paraId="562CC9B2">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Imagens que forem descartadas, não sendo por falha no equipamento, não serão consideradas como demérito, a exemplo: placas suja, veículo sem placa, placas ilegíveis e etc.  </w:t>
      </w:r>
    </w:p>
    <w:p w14:paraId="0F429B2B">
      <w:pPr>
        <w:spacing w:before="240"/>
        <w:jc w:val="both"/>
      </w:pPr>
      <w:r>
        <w:t xml:space="preserve">Deverá ser fornecido o relatório estatístico dos equipamentos contendo o registro do fluxo total de veículos nas faixas de rolamento monitoradas, com informações sobre: </w:t>
      </w:r>
    </w:p>
    <w:p w14:paraId="09476A82">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Data; </w:t>
      </w:r>
    </w:p>
    <w:p w14:paraId="13CDC550">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Hora, minuto e segundo; </w:t>
      </w:r>
    </w:p>
    <w:p w14:paraId="5817377F">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Velocidade praticada; </w:t>
      </w:r>
    </w:p>
    <w:p w14:paraId="0DB8EE23">
      <w:pPr>
        <w:numPr>
          <w:ilvl w:val="0"/>
          <w:numId w:val="34"/>
        </w:numPr>
        <w:pBdr>
          <w:top w:val="none" w:color="auto" w:sz="0" w:space="0"/>
          <w:left w:val="none" w:color="auto" w:sz="0" w:space="0"/>
          <w:bottom w:val="none" w:color="auto" w:sz="0" w:space="0"/>
          <w:right w:val="none" w:color="auto" w:sz="0" w:space="0"/>
          <w:between w:val="none" w:color="auto" w:sz="0" w:space="0"/>
        </w:pBdr>
        <w:jc w:val="both"/>
      </w:pPr>
      <w:r>
        <w:rPr>
          <w:color w:val="000000"/>
        </w:rPr>
        <w:t xml:space="preserve">Classificação veicular; </w:t>
      </w:r>
    </w:p>
    <w:p w14:paraId="0A9476E1">
      <w:pPr>
        <w:spacing w:before="240"/>
        <w:jc w:val="both"/>
      </w:pPr>
      <w:r>
        <w:t xml:space="preserve">Os equipamentos instalados para teste deverão permanecer instalados, sob a responsabilidade da vencedora, até a efetiva assinatura do contrato da empresa vencedora. </w:t>
      </w:r>
    </w:p>
    <w:p w14:paraId="7CA1581F">
      <w:pPr>
        <w:spacing w:before="240"/>
        <w:jc w:val="both"/>
      </w:pPr>
      <w:r>
        <w:t xml:space="preserve">Em caso de não atendimento das exigências relativas ao objeto, a empresa vencedora será desclassificada, sendo facultado à Municipalidade convocar o 2º melhor classificado para a realização dos testes.  </w:t>
      </w:r>
    </w:p>
    <w:p w14:paraId="54BE9AEA">
      <w:pPr>
        <w:pBdr>
          <w:top w:val="none" w:color="auto" w:sz="0" w:space="0"/>
          <w:left w:val="none" w:color="auto" w:sz="0" w:space="0"/>
          <w:bottom w:val="none" w:color="auto" w:sz="0" w:space="0"/>
          <w:right w:val="none" w:color="auto" w:sz="0" w:space="0"/>
          <w:between w:val="none" w:color="auto" w:sz="0" w:space="0"/>
        </w:pBdr>
        <w:spacing w:line="230" w:lineRule="auto"/>
        <w:ind w:right="2"/>
        <w:jc w:val="both"/>
      </w:pPr>
    </w:p>
    <w:p w14:paraId="28F6D2DB">
      <w:pPr>
        <w:widowControl w:val="0"/>
        <w:pBdr>
          <w:top w:val="none" w:color="auto" w:sz="0" w:space="0"/>
          <w:left w:val="none" w:color="auto" w:sz="0" w:space="0"/>
          <w:bottom w:val="none" w:color="auto" w:sz="0" w:space="0"/>
          <w:right w:val="none" w:color="auto" w:sz="0" w:space="0"/>
          <w:between w:val="none" w:color="auto" w:sz="0" w:space="0"/>
        </w:pBdr>
        <w:tabs>
          <w:tab w:val="left" w:pos="728"/>
        </w:tabs>
        <w:jc w:val="both"/>
        <w:rPr>
          <w:b/>
          <w:color w:val="000000"/>
        </w:rPr>
      </w:pPr>
    </w:p>
    <w:p w14:paraId="2003F22E">
      <w:pPr>
        <w:widowControl w:val="0"/>
        <w:pBdr>
          <w:top w:val="none" w:color="auto" w:sz="0" w:space="0"/>
          <w:left w:val="none" w:color="auto" w:sz="0" w:space="0"/>
          <w:bottom w:val="none" w:color="auto" w:sz="0" w:space="0"/>
          <w:right w:val="none" w:color="auto" w:sz="0" w:space="0"/>
          <w:between w:val="none" w:color="auto" w:sz="0" w:space="0"/>
        </w:pBdr>
        <w:tabs>
          <w:tab w:val="left" w:pos="728"/>
        </w:tabs>
        <w:jc w:val="both"/>
        <w:rPr>
          <w:b/>
          <w:color w:val="000000"/>
        </w:rPr>
      </w:pPr>
    </w:p>
    <w:p w14:paraId="2F49F460">
      <w:pPr>
        <w:widowControl w:val="0"/>
        <w:pBdr>
          <w:top w:val="none" w:color="auto" w:sz="0" w:space="0"/>
          <w:left w:val="none" w:color="auto" w:sz="0" w:space="0"/>
          <w:bottom w:val="none" w:color="auto" w:sz="0" w:space="0"/>
          <w:right w:val="none" w:color="auto" w:sz="0" w:space="0"/>
          <w:between w:val="none" w:color="auto" w:sz="0" w:space="0"/>
        </w:pBdr>
        <w:tabs>
          <w:tab w:val="left" w:pos="728"/>
        </w:tabs>
        <w:jc w:val="both"/>
        <w:rPr>
          <w:b/>
          <w:color w:val="000000"/>
        </w:rPr>
      </w:pPr>
      <w:r>
        <w:rPr>
          <w:b/>
          <w:color w:val="000000"/>
        </w:rPr>
        <w:t>ROTEIRO DE AVALIAÇÃO:</w:t>
      </w:r>
    </w:p>
    <w:p w14:paraId="47C25B5D">
      <w:pPr>
        <w:widowControl w:val="0"/>
        <w:pBdr>
          <w:top w:val="none" w:color="auto" w:sz="0" w:space="0"/>
          <w:left w:val="none" w:color="auto" w:sz="0" w:space="0"/>
          <w:bottom w:val="none" w:color="auto" w:sz="0" w:space="0"/>
          <w:right w:val="none" w:color="auto" w:sz="0" w:space="0"/>
          <w:between w:val="none" w:color="auto" w:sz="0" w:space="0"/>
        </w:pBdr>
        <w:tabs>
          <w:tab w:val="left" w:pos="728"/>
        </w:tabs>
        <w:jc w:val="both"/>
        <w:rPr>
          <w:b/>
          <w:color w:val="000000"/>
        </w:rPr>
      </w:pPr>
    </w:p>
    <w:p w14:paraId="0637E272">
      <w:pPr>
        <w:widowControl w:val="0"/>
        <w:pBdr>
          <w:top w:val="none" w:color="auto" w:sz="0" w:space="0"/>
          <w:left w:val="none" w:color="auto" w:sz="0" w:space="0"/>
          <w:bottom w:val="none" w:color="auto" w:sz="0" w:space="0"/>
          <w:right w:val="none" w:color="auto" w:sz="0" w:space="0"/>
          <w:between w:val="none" w:color="auto" w:sz="0" w:space="0"/>
        </w:pBdr>
        <w:tabs>
          <w:tab w:val="left" w:pos="728"/>
        </w:tabs>
        <w:jc w:val="both"/>
        <w:rPr>
          <w:color w:val="000000"/>
        </w:rPr>
      </w:pPr>
    </w:p>
    <w:p w14:paraId="4330D9E5">
      <w:pPr>
        <w:pBdr>
          <w:top w:val="none" w:color="auto" w:sz="0" w:space="0"/>
          <w:left w:val="none" w:color="auto" w:sz="0" w:space="0"/>
          <w:bottom w:val="none" w:color="auto" w:sz="0" w:space="0"/>
          <w:right w:val="none" w:color="auto" w:sz="0" w:space="0"/>
          <w:between w:val="none" w:color="auto" w:sz="0" w:space="0"/>
        </w:pBdr>
        <w:spacing w:line="230" w:lineRule="auto"/>
        <w:ind w:right="2"/>
        <w:jc w:val="both"/>
      </w:pPr>
    </w:p>
    <w:tbl>
      <w:tblPr>
        <w:tblStyle w:val="12"/>
        <w:tblW w:w="8916" w:type="dxa"/>
        <w:jc w:val="center"/>
        <w:tblLayout w:type="fixed"/>
        <w:tblCellMar>
          <w:top w:w="0" w:type="dxa"/>
          <w:left w:w="108" w:type="dxa"/>
          <w:bottom w:w="0" w:type="dxa"/>
          <w:right w:w="108" w:type="dxa"/>
        </w:tblCellMar>
      </w:tblPr>
      <w:tblGrid>
        <w:gridCol w:w="2593"/>
        <w:gridCol w:w="4338"/>
        <w:gridCol w:w="992"/>
        <w:gridCol w:w="993"/>
      </w:tblGrid>
      <w:tr w14:paraId="746514B8">
        <w:tblPrEx>
          <w:tblCellMar>
            <w:top w:w="0" w:type="dxa"/>
            <w:left w:w="108" w:type="dxa"/>
            <w:bottom w:w="0" w:type="dxa"/>
            <w:right w:w="108" w:type="dxa"/>
          </w:tblCellMar>
        </w:tblPrEx>
        <w:trPr>
          <w:trHeight w:val="315"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442409EC">
            <w:pPr>
              <w:spacing w:line="240" w:lineRule="auto"/>
              <w:ind w:left="69"/>
              <w:rPr>
                <w:rFonts w:ascii="Times New Roman" w:hAnsi="Times New Roman" w:eastAsia="Times New Roman" w:cs="Times New Roman"/>
              </w:rPr>
            </w:pPr>
            <w:r>
              <w:rPr>
                <w:color w:val="000000"/>
              </w:rPr>
              <w:t>Nome da licitante</w:t>
            </w:r>
          </w:p>
        </w:tc>
        <w:tc>
          <w:tcPr>
            <w:tcW w:w="6323" w:type="dxa"/>
            <w:gridSpan w:val="3"/>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359D7382">
            <w:pPr>
              <w:spacing w:line="240" w:lineRule="auto"/>
              <w:rPr>
                <w:rFonts w:ascii="Times New Roman" w:hAnsi="Times New Roman" w:eastAsia="Times New Roman" w:cs="Times New Roman"/>
              </w:rPr>
            </w:pPr>
          </w:p>
        </w:tc>
      </w:tr>
      <w:tr w14:paraId="44E05C10">
        <w:tblPrEx>
          <w:tblCellMar>
            <w:top w:w="0" w:type="dxa"/>
            <w:left w:w="108" w:type="dxa"/>
            <w:bottom w:w="0" w:type="dxa"/>
            <w:right w:w="108" w:type="dxa"/>
          </w:tblCellMar>
        </w:tblPrEx>
        <w:trPr>
          <w:trHeight w:val="315"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64D8D685">
            <w:pPr>
              <w:spacing w:line="240" w:lineRule="auto"/>
              <w:ind w:left="69"/>
              <w:rPr>
                <w:rFonts w:ascii="Times New Roman" w:hAnsi="Times New Roman" w:eastAsia="Times New Roman" w:cs="Times New Roman"/>
              </w:rPr>
            </w:pPr>
            <w:r>
              <w:rPr>
                <w:color w:val="000000"/>
              </w:rPr>
              <w:t>CNPJ</w:t>
            </w:r>
          </w:p>
        </w:tc>
        <w:tc>
          <w:tcPr>
            <w:tcW w:w="6323" w:type="dxa"/>
            <w:gridSpan w:val="3"/>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6DAA99EF">
            <w:pPr>
              <w:spacing w:line="240" w:lineRule="auto"/>
              <w:rPr>
                <w:rFonts w:ascii="Times New Roman" w:hAnsi="Times New Roman" w:eastAsia="Times New Roman" w:cs="Times New Roman"/>
              </w:rPr>
            </w:pPr>
          </w:p>
        </w:tc>
      </w:tr>
      <w:tr w14:paraId="0FF0DAB4">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6E389D90">
            <w:pPr>
              <w:spacing w:line="240" w:lineRule="auto"/>
              <w:rPr>
                <w:rFonts w:ascii="Times New Roman" w:hAnsi="Times New Roman" w:eastAsia="Times New Roman" w:cs="Times New Roman"/>
              </w:rPr>
            </w:pPr>
          </w:p>
        </w:tc>
        <w:tc>
          <w:tcPr>
            <w:tcW w:w="6323" w:type="dxa"/>
            <w:gridSpan w:val="3"/>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0D018FA8">
            <w:pPr>
              <w:spacing w:line="240" w:lineRule="auto"/>
              <w:rPr>
                <w:rFonts w:ascii="Times New Roman" w:hAnsi="Times New Roman" w:eastAsia="Times New Roman" w:cs="Times New Roman"/>
              </w:rPr>
            </w:pPr>
          </w:p>
        </w:tc>
      </w:tr>
      <w:tr w14:paraId="65585373">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602E77C">
            <w:pPr>
              <w:spacing w:line="240" w:lineRule="auto"/>
              <w:ind w:left="69"/>
              <w:rPr>
                <w:rFonts w:ascii="Times New Roman" w:hAnsi="Times New Roman" w:eastAsia="Times New Roman" w:cs="Times New Roman"/>
              </w:rPr>
            </w:pPr>
            <w:r>
              <w:rPr>
                <w:b/>
                <w:color w:val="000000"/>
              </w:rPr>
              <w:t>Requisito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8774D72">
            <w:pPr>
              <w:spacing w:line="240" w:lineRule="auto"/>
              <w:ind w:left="69"/>
              <w:rPr>
                <w:rFonts w:ascii="Times New Roman" w:hAnsi="Times New Roman" w:eastAsia="Times New Roman" w:cs="Times New Roman"/>
              </w:rPr>
            </w:pPr>
            <w:r>
              <w:rPr>
                <w:b/>
                <w:color w:val="000000"/>
              </w:rPr>
              <w:t>Resultado Esperado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3E3009A">
            <w:pPr>
              <w:spacing w:line="240" w:lineRule="auto"/>
              <w:ind w:left="69"/>
              <w:jc w:val="center"/>
              <w:rPr>
                <w:rFonts w:ascii="Times New Roman" w:hAnsi="Times New Roman" w:eastAsia="Times New Roman" w:cs="Times New Roman"/>
              </w:rPr>
            </w:pPr>
            <w:r>
              <w:rPr>
                <w:b/>
                <w:color w:val="000000"/>
              </w:rPr>
              <w:t>Atende</w:t>
            </w:r>
          </w:p>
        </w:tc>
        <w:tc>
          <w:tcPr>
            <w:tcW w:w="9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69B0D41">
            <w:pPr>
              <w:spacing w:line="240" w:lineRule="auto"/>
              <w:ind w:left="69"/>
              <w:jc w:val="center"/>
              <w:rPr>
                <w:rFonts w:ascii="Times New Roman" w:hAnsi="Times New Roman" w:eastAsia="Times New Roman" w:cs="Times New Roman"/>
              </w:rPr>
            </w:pPr>
            <w:r>
              <w:rPr>
                <w:b/>
                <w:color w:val="000000"/>
              </w:rPr>
              <w:t>Não atende</w:t>
            </w:r>
          </w:p>
        </w:tc>
      </w:tr>
      <w:tr w14:paraId="7E0614A6">
        <w:tblPrEx>
          <w:tblCellMar>
            <w:top w:w="0" w:type="dxa"/>
            <w:left w:w="108" w:type="dxa"/>
            <w:bottom w:w="0" w:type="dxa"/>
            <w:right w:w="108" w:type="dxa"/>
          </w:tblCellMar>
        </w:tblPrEx>
        <w:trPr>
          <w:trHeight w:val="54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8863EA5">
            <w:pPr>
              <w:spacing w:line="240" w:lineRule="auto"/>
              <w:ind w:left="69"/>
              <w:rPr>
                <w:rFonts w:ascii="Times New Roman" w:hAnsi="Times New Roman" w:eastAsia="Times New Roman" w:cs="Times New Roman"/>
              </w:rPr>
            </w:pPr>
            <w:r>
              <w:rPr>
                <w:color w:val="000000"/>
              </w:rPr>
              <w:t>Estrutura para POC</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11DE795">
            <w:pPr>
              <w:spacing w:line="240" w:lineRule="auto"/>
              <w:ind w:left="69"/>
              <w:rPr>
                <w:rFonts w:ascii="Times New Roman" w:hAnsi="Times New Roman" w:eastAsia="Times New Roman" w:cs="Times New Roman"/>
              </w:rPr>
            </w:pPr>
            <w:r>
              <w:rPr>
                <w:color w:val="000000"/>
              </w:rPr>
              <w:t>Dispor da estrutura mínima para amostra compondo os dispositivos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349F5FB">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76E502A">
            <w:pPr>
              <w:spacing w:line="240" w:lineRule="auto"/>
              <w:rPr>
                <w:rFonts w:ascii="Times New Roman" w:hAnsi="Times New Roman" w:eastAsia="Times New Roman" w:cs="Times New Roman"/>
              </w:rPr>
            </w:pPr>
          </w:p>
        </w:tc>
      </w:tr>
      <w:tr w14:paraId="601767A3">
        <w:tblPrEx>
          <w:tblCellMar>
            <w:top w:w="0" w:type="dxa"/>
            <w:left w:w="108" w:type="dxa"/>
            <w:bottom w:w="0" w:type="dxa"/>
            <w:right w:w="108" w:type="dxa"/>
          </w:tblCellMar>
        </w:tblPrEx>
        <w:trPr>
          <w:trHeight w:val="84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A5329C0">
            <w:pPr>
              <w:spacing w:line="240" w:lineRule="auto"/>
              <w:ind w:left="69"/>
              <w:rPr>
                <w:rFonts w:ascii="Times New Roman" w:hAnsi="Times New Roman" w:eastAsia="Times New Roman" w:cs="Times New Roman"/>
              </w:rPr>
            </w:pPr>
            <w:r>
              <w:rPr>
                <w:color w:val="000000"/>
              </w:rPr>
              <w:t>Equipamentos ofertados para a POC e sua instalação nos locais</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37597EB">
            <w:pPr>
              <w:spacing w:line="240" w:lineRule="auto"/>
              <w:ind w:left="69"/>
              <w:rPr>
                <w:rFonts w:ascii="Times New Roman" w:hAnsi="Times New Roman" w:eastAsia="Times New Roman" w:cs="Times New Roman"/>
              </w:rPr>
            </w:pPr>
            <w:r>
              <w:rPr>
                <w:color w:val="000000"/>
              </w:rPr>
              <w:t>Atender tecnicamente às características constantes no Edital;</w:t>
            </w:r>
          </w:p>
          <w:p w14:paraId="0152052A">
            <w:pPr>
              <w:spacing w:line="240" w:lineRule="auto"/>
              <w:ind w:left="69"/>
              <w:rPr>
                <w:rFonts w:ascii="Times New Roman" w:hAnsi="Times New Roman" w:eastAsia="Times New Roman" w:cs="Times New Roman"/>
              </w:rPr>
            </w:pPr>
            <w:r>
              <w:rPr>
                <w:color w:val="000000"/>
              </w:rPr>
              <w:t>Estar adequadamente instalado nos locais, atendendo a demanda requisitada;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29CDA39">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66C9EDE">
            <w:pPr>
              <w:spacing w:line="240" w:lineRule="auto"/>
              <w:rPr>
                <w:rFonts w:ascii="Times New Roman" w:hAnsi="Times New Roman" w:eastAsia="Times New Roman" w:cs="Times New Roman"/>
              </w:rPr>
            </w:pPr>
          </w:p>
        </w:tc>
      </w:tr>
      <w:tr w14:paraId="0098C9C0">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CEFD2DE">
            <w:pPr>
              <w:spacing w:line="240" w:lineRule="auto"/>
              <w:ind w:left="69"/>
              <w:rPr>
                <w:rFonts w:ascii="Times New Roman" w:hAnsi="Times New Roman" w:eastAsia="Times New Roman" w:cs="Times New Roman"/>
              </w:rPr>
            </w:pPr>
            <w:r>
              <w:rPr>
                <w:color w:val="000000"/>
              </w:rPr>
              <w:t>Realizar leitura de placas veiculares nos padrões existentes</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7799C1E">
            <w:pPr>
              <w:spacing w:line="240" w:lineRule="auto"/>
              <w:ind w:left="69"/>
              <w:rPr>
                <w:rFonts w:ascii="Times New Roman" w:hAnsi="Times New Roman" w:eastAsia="Times New Roman" w:cs="Times New Roman"/>
              </w:rPr>
            </w:pPr>
            <w:r>
              <w:rPr>
                <w:color w:val="000000"/>
              </w:rPr>
              <w:t>Coletar, identificar e classificar adequadamente as placas e os veículos que passarem pelo ponto de coleta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F66DBFA">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811DEB0">
            <w:pPr>
              <w:spacing w:line="240" w:lineRule="auto"/>
              <w:rPr>
                <w:rFonts w:ascii="Times New Roman" w:hAnsi="Times New Roman" w:eastAsia="Times New Roman" w:cs="Times New Roman"/>
              </w:rPr>
            </w:pPr>
          </w:p>
        </w:tc>
      </w:tr>
      <w:tr w14:paraId="45D1E399">
        <w:tblPrEx>
          <w:tblCellMar>
            <w:top w:w="0" w:type="dxa"/>
            <w:left w:w="108" w:type="dxa"/>
            <w:bottom w:w="0" w:type="dxa"/>
            <w:right w:w="108" w:type="dxa"/>
          </w:tblCellMar>
        </w:tblPrEx>
        <w:trPr>
          <w:trHeight w:val="84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0808CFE">
            <w:pPr>
              <w:spacing w:line="240" w:lineRule="auto"/>
              <w:ind w:left="69"/>
              <w:rPr>
                <w:rFonts w:ascii="Times New Roman" w:hAnsi="Times New Roman" w:eastAsia="Times New Roman" w:cs="Times New Roman"/>
              </w:rPr>
            </w:pPr>
            <w:r>
              <w:rPr>
                <w:color w:val="000000"/>
              </w:rPr>
              <w:t>Qualidade da imagem coletada pelas câmeras de LPR</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EAD8F44">
            <w:pPr>
              <w:spacing w:line="240" w:lineRule="auto"/>
              <w:ind w:left="69"/>
              <w:rPr>
                <w:rFonts w:ascii="Times New Roman" w:hAnsi="Times New Roman" w:eastAsia="Times New Roman" w:cs="Times New Roman"/>
              </w:rPr>
            </w:pPr>
            <w:r>
              <w:rPr>
                <w:color w:val="000000"/>
              </w:rPr>
              <w:t>A imagem coletada deverá permitir a visualização do objeto e de seus detalhes (tipo de veículo, cor, entre outros) durante o dia e durante a noite</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35E025F">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088DDFDD">
            <w:pPr>
              <w:spacing w:line="240" w:lineRule="auto"/>
              <w:rPr>
                <w:rFonts w:ascii="Times New Roman" w:hAnsi="Times New Roman" w:eastAsia="Times New Roman" w:cs="Times New Roman"/>
              </w:rPr>
            </w:pPr>
          </w:p>
        </w:tc>
      </w:tr>
      <w:tr w14:paraId="377EE102">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01534E8">
            <w:pPr>
              <w:spacing w:line="240" w:lineRule="auto"/>
              <w:ind w:left="69"/>
              <w:rPr>
                <w:rFonts w:ascii="Times New Roman" w:hAnsi="Times New Roman" w:eastAsia="Times New Roman" w:cs="Times New Roman"/>
              </w:rPr>
            </w:pPr>
            <w:r>
              <w:rPr>
                <w:color w:val="000000"/>
              </w:rPr>
              <w:t>Eficiência na leitura das placas</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89B7754">
            <w:pPr>
              <w:spacing w:line="240" w:lineRule="auto"/>
              <w:ind w:left="69"/>
              <w:rPr>
                <w:rFonts w:ascii="Times New Roman" w:hAnsi="Times New Roman" w:eastAsia="Times New Roman" w:cs="Times New Roman"/>
              </w:rPr>
            </w:pPr>
            <w:r>
              <w:rPr>
                <w:color w:val="000000"/>
              </w:rPr>
              <w:t>Coletar adequadamente (com êxito no OCR) as placas dos veículos que passaram pelo ponto de coleta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F3DC38F">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6F8409F5">
            <w:pPr>
              <w:spacing w:line="240" w:lineRule="auto"/>
              <w:rPr>
                <w:rFonts w:ascii="Times New Roman" w:hAnsi="Times New Roman" w:eastAsia="Times New Roman" w:cs="Times New Roman"/>
              </w:rPr>
            </w:pPr>
          </w:p>
        </w:tc>
      </w:tr>
      <w:tr w14:paraId="372A5EE8">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98ADDE0">
            <w:pPr>
              <w:spacing w:line="240" w:lineRule="auto"/>
              <w:ind w:left="69"/>
              <w:rPr>
                <w:rFonts w:ascii="Times New Roman" w:hAnsi="Times New Roman" w:eastAsia="Times New Roman" w:cs="Times New Roman"/>
              </w:rPr>
            </w:pPr>
            <w:r>
              <w:rPr>
                <w:color w:val="000000"/>
              </w:rPr>
              <w:t>Velocidade do processamento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F6E8D2C">
            <w:pPr>
              <w:spacing w:line="240" w:lineRule="auto"/>
              <w:ind w:left="69"/>
              <w:rPr>
                <w:rFonts w:ascii="Times New Roman" w:hAnsi="Times New Roman" w:eastAsia="Times New Roman" w:cs="Times New Roman"/>
              </w:rPr>
            </w:pPr>
            <w:r>
              <w:rPr>
                <w:color w:val="000000"/>
              </w:rPr>
              <w:t>A imagem capturada e a interpretação da placa via OCR devem acontecer em menos de 10 (dez) segundos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F2AD708">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39882619">
            <w:pPr>
              <w:spacing w:line="240" w:lineRule="auto"/>
              <w:rPr>
                <w:rFonts w:ascii="Times New Roman" w:hAnsi="Times New Roman" w:eastAsia="Times New Roman" w:cs="Times New Roman"/>
              </w:rPr>
            </w:pPr>
          </w:p>
        </w:tc>
      </w:tr>
      <w:tr w14:paraId="0D696A49">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F87AB3E">
            <w:pPr>
              <w:spacing w:line="240" w:lineRule="auto"/>
              <w:ind w:left="69"/>
              <w:rPr>
                <w:rFonts w:ascii="Times New Roman" w:hAnsi="Times New Roman" w:eastAsia="Times New Roman" w:cs="Times New Roman"/>
              </w:rPr>
            </w:pPr>
            <w:r>
              <w:rPr>
                <w:color w:val="000000"/>
              </w:rPr>
              <w:t>Pesquisa por placa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2C155DF">
            <w:pPr>
              <w:spacing w:line="240" w:lineRule="auto"/>
              <w:ind w:left="69"/>
              <w:rPr>
                <w:rFonts w:ascii="Times New Roman" w:hAnsi="Times New Roman" w:eastAsia="Times New Roman" w:cs="Times New Roman"/>
              </w:rPr>
            </w:pPr>
            <w:r>
              <w:rPr>
                <w:color w:val="000000"/>
              </w:rPr>
              <w:t>O software deverá retornar as passagens da placa pesquisada e permitir visualização da imagem de cada captura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E0818AB">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67A704A0">
            <w:pPr>
              <w:spacing w:line="240" w:lineRule="auto"/>
              <w:rPr>
                <w:rFonts w:ascii="Times New Roman" w:hAnsi="Times New Roman" w:eastAsia="Times New Roman" w:cs="Times New Roman"/>
              </w:rPr>
            </w:pPr>
          </w:p>
        </w:tc>
      </w:tr>
      <w:tr w14:paraId="4082ABD3">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01F252C">
            <w:pPr>
              <w:spacing w:line="240" w:lineRule="auto"/>
              <w:ind w:left="69"/>
              <w:rPr>
                <w:rFonts w:ascii="Times New Roman" w:hAnsi="Times New Roman" w:eastAsia="Times New Roman" w:cs="Times New Roman"/>
              </w:rPr>
            </w:pPr>
            <w:r>
              <w:rPr>
                <w:color w:val="000000"/>
              </w:rPr>
              <w:t>Pesquisa por placa incompleta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5E1DABB">
            <w:pPr>
              <w:spacing w:line="240" w:lineRule="auto"/>
              <w:ind w:left="69"/>
              <w:rPr>
                <w:rFonts w:ascii="Times New Roman" w:hAnsi="Times New Roman" w:eastAsia="Times New Roman" w:cs="Times New Roman"/>
              </w:rPr>
            </w:pPr>
            <w:r>
              <w:rPr>
                <w:color w:val="000000"/>
              </w:rPr>
              <w:t>O software deverá retornar as passagens das placas compatíveis com o padrão pesquisado e permitir visualização da imagem de cada captura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491184B">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6D5DBF59">
            <w:pPr>
              <w:spacing w:line="240" w:lineRule="auto"/>
              <w:rPr>
                <w:rFonts w:ascii="Times New Roman" w:hAnsi="Times New Roman" w:eastAsia="Times New Roman" w:cs="Times New Roman"/>
              </w:rPr>
            </w:pPr>
          </w:p>
        </w:tc>
      </w:tr>
      <w:tr w14:paraId="163354BE">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006861B">
            <w:pPr>
              <w:spacing w:line="240" w:lineRule="auto"/>
              <w:ind w:left="69"/>
              <w:rPr>
                <w:rFonts w:ascii="Times New Roman" w:hAnsi="Times New Roman" w:eastAsia="Times New Roman" w:cs="Times New Roman"/>
              </w:rPr>
            </w:pPr>
            <w:r>
              <w:rPr>
                <w:color w:val="000000"/>
              </w:rPr>
              <w:t>Qualidade da imagem coletada pelas câmeras de vias</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553AC73">
            <w:pPr>
              <w:spacing w:line="240" w:lineRule="auto"/>
              <w:ind w:left="69"/>
              <w:rPr>
                <w:rFonts w:ascii="Times New Roman" w:hAnsi="Times New Roman" w:eastAsia="Times New Roman" w:cs="Times New Roman"/>
              </w:rPr>
            </w:pPr>
            <w:r>
              <w:rPr>
                <w:color w:val="000000"/>
              </w:rPr>
              <w:t>A imagem coletada deverá permitir a visualização do ambiente, ainda que em condições desfavoráveis (noite, chuva ou neblina)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60B8E52">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745FB1C2">
            <w:pPr>
              <w:spacing w:line="240" w:lineRule="auto"/>
              <w:rPr>
                <w:rFonts w:ascii="Times New Roman" w:hAnsi="Times New Roman" w:eastAsia="Times New Roman" w:cs="Times New Roman"/>
              </w:rPr>
            </w:pPr>
          </w:p>
        </w:tc>
      </w:tr>
      <w:tr w14:paraId="17C20046">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A46BAD7">
            <w:pPr>
              <w:spacing w:line="240" w:lineRule="auto"/>
              <w:ind w:left="69"/>
              <w:rPr>
                <w:rFonts w:ascii="Times New Roman" w:hAnsi="Times New Roman" w:eastAsia="Times New Roman" w:cs="Times New Roman"/>
              </w:rPr>
            </w:pPr>
            <w:r>
              <w:rPr>
                <w:color w:val="000000"/>
              </w:rPr>
              <w:t>Pesquisar por data ou por ocorrência registrada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67A9E54">
            <w:pPr>
              <w:spacing w:line="240" w:lineRule="auto"/>
              <w:ind w:left="69"/>
              <w:rPr>
                <w:rFonts w:ascii="Times New Roman" w:hAnsi="Times New Roman" w:eastAsia="Times New Roman" w:cs="Times New Roman"/>
              </w:rPr>
            </w:pPr>
            <w:r>
              <w:rPr>
                <w:color w:val="000000"/>
              </w:rPr>
              <w:t>Software deverá permitir a reprodução do gravado após pesquisa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918B648">
            <w:pPr>
              <w:spacing w:line="240" w:lineRule="auto"/>
              <w:rPr>
                <w:rFonts w:ascii="Times New Roman" w:hAnsi="Times New Roman" w:eastAsia="Times New Roman" w:cs="Times New Roman"/>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4415EA15">
            <w:pPr>
              <w:spacing w:line="240" w:lineRule="auto"/>
              <w:rPr>
                <w:rFonts w:ascii="Times New Roman" w:hAnsi="Times New Roman" w:eastAsia="Times New Roman" w:cs="Times New Roman"/>
              </w:rPr>
            </w:pPr>
          </w:p>
        </w:tc>
      </w:tr>
      <w:tr w14:paraId="463742AC">
        <w:tblPrEx>
          <w:tblCellMar>
            <w:top w:w="0" w:type="dxa"/>
            <w:left w:w="108" w:type="dxa"/>
            <w:bottom w:w="0" w:type="dxa"/>
            <w:right w:w="108" w:type="dxa"/>
          </w:tblCellMar>
        </w:tblPrEx>
        <w:trPr>
          <w:trHeight w:val="57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8912C57">
            <w:pPr>
              <w:spacing w:line="240" w:lineRule="auto"/>
              <w:ind w:left="69"/>
              <w:rPr>
                <w:color w:val="000000"/>
              </w:rPr>
            </w:pPr>
            <w:r>
              <w:rPr>
                <w:color w:val="000000"/>
              </w:rPr>
              <w:t>Emissão de alarde de falha ou mal funcionamento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45EADD8">
            <w:pPr>
              <w:spacing w:line="240" w:lineRule="auto"/>
              <w:ind w:left="69"/>
              <w:rPr>
                <w:color w:val="000000"/>
              </w:rPr>
            </w:pPr>
            <w:r>
              <w:rPr>
                <w:color w:val="000000"/>
              </w:rPr>
              <w:t>Envio de alerta, ao menos, em tela e via e-mail, quando algum equipamento monitorado apresentar problemas de funcionamento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F3FFFB2">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554153C3">
            <w:pPr>
              <w:spacing w:line="240" w:lineRule="auto"/>
              <w:rPr>
                <w:color w:val="000000"/>
              </w:rPr>
            </w:pPr>
          </w:p>
        </w:tc>
      </w:tr>
      <w:tr w14:paraId="37351CC6">
        <w:tblPrEx>
          <w:tblCellMar>
            <w:top w:w="0" w:type="dxa"/>
            <w:left w:w="108" w:type="dxa"/>
            <w:bottom w:w="0" w:type="dxa"/>
            <w:right w:w="108" w:type="dxa"/>
          </w:tblCellMar>
        </w:tblPrEx>
        <w:trPr>
          <w:trHeight w:val="343"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51058A5D">
            <w:pPr>
              <w:spacing w:line="240" w:lineRule="auto"/>
              <w:ind w:left="69"/>
              <w:rPr>
                <w:color w:val="000000"/>
              </w:rPr>
            </w:pPr>
            <w:r>
              <w:rPr>
                <w:color w:val="000000"/>
              </w:rPr>
              <w:t>Sensores não intrusivos ao pavimento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5C99EF5F">
            <w:pPr>
              <w:spacing w:line="240" w:lineRule="auto"/>
              <w:ind w:left="69"/>
              <w:rPr>
                <w:color w:val="000000"/>
              </w:rPr>
            </w:pPr>
            <w:r>
              <w:rPr>
                <w:color w:val="000000"/>
              </w:rPr>
              <w:t>Uso de tecnologia que não exige corte ou perfuração do pavimento.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1880E455">
            <w:pPr>
              <w:spacing w:line="240" w:lineRule="auto"/>
              <w:ind w:left="69"/>
              <w:rPr>
                <w:color w:val="000000"/>
              </w:rPr>
            </w:pPr>
          </w:p>
          <w:p w14:paraId="23C45C09">
            <w:pPr>
              <w:spacing w:line="240" w:lineRule="auto"/>
              <w:ind w:left="69"/>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bottom"/>
          </w:tcPr>
          <w:p w14:paraId="3F0B7FDD">
            <w:pPr>
              <w:spacing w:line="240" w:lineRule="auto"/>
              <w:ind w:left="69"/>
              <w:rPr>
                <w:color w:val="000000"/>
              </w:rPr>
            </w:pPr>
          </w:p>
        </w:tc>
      </w:tr>
      <w:tr w14:paraId="41FB5192">
        <w:tblPrEx>
          <w:tblCellMar>
            <w:top w:w="0" w:type="dxa"/>
            <w:left w:w="108" w:type="dxa"/>
            <w:bottom w:w="0" w:type="dxa"/>
            <w:right w:w="108" w:type="dxa"/>
          </w:tblCellMar>
        </w:tblPrEx>
        <w:trPr>
          <w:trHeight w:val="315"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B9DA975">
            <w:pPr>
              <w:spacing w:line="240" w:lineRule="auto"/>
              <w:ind w:left="69"/>
              <w:rPr>
                <w:color w:val="000000"/>
              </w:rPr>
            </w:pPr>
            <w:r>
              <w:rPr>
                <w:color w:val="000000"/>
              </w:rPr>
              <w:t>Estrutura resistente</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A7A9298">
            <w:pPr>
              <w:spacing w:line="240" w:lineRule="auto"/>
              <w:ind w:left="69"/>
              <w:rPr>
                <w:color w:val="000000"/>
              </w:rPr>
            </w:pPr>
            <w:r>
              <w:rPr>
                <w:color w:val="000000"/>
              </w:rPr>
              <w:t>Deve ser rígida, fixa, resistente a intempéries e vandalismo.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B56A7B1">
            <w:pPr>
              <w:spacing w:line="240" w:lineRule="auto"/>
              <w:ind w:left="69"/>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66BD5F2">
            <w:pPr>
              <w:spacing w:line="240" w:lineRule="auto"/>
              <w:ind w:left="69"/>
              <w:rPr>
                <w:color w:val="000000"/>
              </w:rPr>
            </w:pPr>
          </w:p>
        </w:tc>
      </w:tr>
      <w:tr w14:paraId="43947119">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17531C4">
            <w:pPr>
              <w:spacing w:line="240" w:lineRule="auto"/>
              <w:ind w:left="69"/>
              <w:rPr>
                <w:color w:val="000000"/>
              </w:rPr>
            </w:pPr>
            <w:r>
              <w:rPr>
                <w:color w:val="000000"/>
              </w:rPr>
              <w:t>Proteção elétrica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8032356">
            <w:pPr>
              <w:spacing w:line="240" w:lineRule="auto"/>
              <w:ind w:left="69"/>
              <w:rPr>
                <w:color w:val="000000"/>
              </w:rPr>
            </w:pPr>
            <w:r>
              <w:rPr>
                <w:color w:val="000000"/>
              </w:rPr>
              <w:t>Deve possuir proteção contra sobrecarga de tensão ou corrente.</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B6F931A">
            <w:pPr>
              <w:spacing w:line="240" w:lineRule="auto"/>
              <w:ind w:left="69"/>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626B25C2">
            <w:pPr>
              <w:spacing w:line="240" w:lineRule="auto"/>
              <w:ind w:left="69"/>
              <w:rPr>
                <w:color w:val="000000"/>
              </w:rPr>
            </w:pPr>
          </w:p>
        </w:tc>
      </w:tr>
      <w:tr w14:paraId="09C0D44C">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0C39BF5">
            <w:pPr>
              <w:spacing w:line="240" w:lineRule="auto"/>
              <w:ind w:left="69"/>
              <w:rPr>
                <w:color w:val="000000"/>
              </w:rPr>
            </w:pPr>
            <w:r>
              <w:rPr>
                <w:color w:val="000000"/>
              </w:rPr>
              <w:t>Captura de imagem por excesso de velocidade</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B42D19B">
            <w:pPr>
              <w:spacing w:line="240" w:lineRule="auto"/>
              <w:ind w:left="69"/>
              <w:rPr>
                <w:color w:val="000000"/>
              </w:rPr>
            </w:pPr>
            <w:r>
              <w:rPr>
                <w:color w:val="000000"/>
              </w:rPr>
              <w:t>Capturar automaticamente imagens de veículos em excesso de velocidade com comprovantes de infração.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D700BB7">
            <w:pPr>
              <w:spacing w:line="240" w:lineRule="auto"/>
              <w:ind w:left="69"/>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3E7E2E3E">
            <w:pPr>
              <w:spacing w:line="240" w:lineRule="auto"/>
              <w:ind w:left="69"/>
              <w:rPr>
                <w:color w:val="000000"/>
              </w:rPr>
            </w:pPr>
          </w:p>
        </w:tc>
      </w:tr>
      <w:tr w14:paraId="251D3DD5">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59D1DEF">
            <w:pPr>
              <w:spacing w:line="240" w:lineRule="auto"/>
              <w:ind w:left="69"/>
              <w:rPr>
                <w:color w:val="000000"/>
              </w:rPr>
            </w:pPr>
            <w:r>
              <w:rPr>
                <w:color w:val="000000"/>
              </w:rPr>
              <w:t>Armazenamento local de imagens</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79227C0">
            <w:pPr>
              <w:spacing w:line="240" w:lineRule="auto"/>
              <w:ind w:left="69"/>
              <w:rPr>
                <w:color w:val="000000"/>
              </w:rPr>
            </w:pPr>
            <w:r>
              <w:rPr>
                <w:color w:val="000000"/>
              </w:rPr>
              <w:t>Capacidade mínima de armazenar 5.000 imagens por faixa monitorada.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D0BC6FD">
            <w:pPr>
              <w:spacing w:line="240" w:lineRule="auto"/>
              <w:ind w:left="69"/>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47DDDABC">
            <w:pPr>
              <w:spacing w:line="240" w:lineRule="auto"/>
              <w:ind w:left="69"/>
              <w:rPr>
                <w:color w:val="000000"/>
              </w:rPr>
            </w:pPr>
          </w:p>
        </w:tc>
      </w:tr>
      <w:tr w14:paraId="260EE830">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DD9DE8E">
            <w:pPr>
              <w:spacing w:line="240" w:lineRule="auto"/>
              <w:ind w:left="69"/>
              <w:rPr>
                <w:color w:val="000000"/>
              </w:rPr>
            </w:pPr>
            <w:r>
              <w:rPr>
                <w:color w:val="000000"/>
              </w:rPr>
              <w:t>Transferência online segura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A3BE70B">
            <w:pPr>
              <w:spacing w:line="240" w:lineRule="auto"/>
              <w:ind w:left="69"/>
              <w:rPr>
                <w:color w:val="000000"/>
              </w:rPr>
            </w:pPr>
            <w:r>
              <w:rPr>
                <w:color w:val="000000"/>
              </w:rPr>
              <w:t>Transferência de dados via rede segura, mantendo integridade da informação.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71B7BC5">
            <w:pPr>
              <w:spacing w:line="240" w:lineRule="auto"/>
              <w:ind w:left="69"/>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04680831">
            <w:pPr>
              <w:spacing w:line="240" w:lineRule="auto"/>
              <w:ind w:left="69"/>
              <w:rPr>
                <w:color w:val="000000"/>
              </w:rPr>
            </w:pPr>
          </w:p>
        </w:tc>
      </w:tr>
      <w:tr w14:paraId="19FEA396">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4EE4F9B">
            <w:pPr>
              <w:spacing w:line="240" w:lineRule="auto"/>
              <w:ind w:left="69"/>
              <w:rPr>
                <w:color w:val="000000"/>
              </w:rPr>
            </w:pPr>
            <w:r>
              <w:rPr>
                <w:color w:val="000000"/>
              </w:rPr>
              <w:t>Registro de infrações de todos os veículos</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570C2CD">
            <w:pPr>
              <w:spacing w:line="240" w:lineRule="auto"/>
              <w:rPr>
                <w:color w:val="000000"/>
              </w:rPr>
            </w:pPr>
            <w:r>
              <w:rPr>
                <w:color w:val="000000"/>
              </w:rPr>
              <w:t>Inclusão de motocicletas.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1EE15FB">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5CDFA0E">
            <w:pPr>
              <w:spacing w:line="240" w:lineRule="auto"/>
              <w:rPr>
                <w:color w:val="000000"/>
              </w:rPr>
            </w:pPr>
          </w:p>
        </w:tc>
      </w:tr>
      <w:tr w14:paraId="332A030D">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8D66351">
            <w:pPr>
              <w:spacing w:line="240" w:lineRule="auto"/>
              <w:ind w:left="69"/>
              <w:rPr>
                <w:color w:val="000000"/>
              </w:rPr>
            </w:pPr>
            <w:r>
              <w:rPr>
                <w:color w:val="000000"/>
              </w:rPr>
              <w:t>Registro traseiro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3AD129D">
            <w:pPr>
              <w:spacing w:line="240" w:lineRule="auto"/>
              <w:rPr>
                <w:color w:val="000000"/>
              </w:rPr>
            </w:pPr>
            <w:r>
              <w:rPr>
                <w:color w:val="000000"/>
              </w:rPr>
              <w:t>Registro da imagem pela raseira e em ambos os sentidos.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1AFD200">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21180FFC">
            <w:pPr>
              <w:spacing w:line="240" w:lineRule="auto"/>
              <w:rPr>
                <w:color w:val="000000"/>
              </w:rPr>
            </w:pPr>
          </w:p>
        </w:tc>
      </w:tr>
      <w:tr w14:paraId="7CCBB933">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DC3CEA7">
            <w:pPr>
              <w:spacing w:line="240" w:lineRule="auto"/>
              <w:ind w:left="69"/>
              <w:rPr>
                <w:color w:val="000000"/>
              </w:rPr>
            </w:pPr>
            <w:r>
              <w:rPr>
                <w:color w:val="000000"/>
              </w:rPr>
              <w:t>Imagens panorâmicas e com zoom</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BDBE112">
            <w:pPr>
              <w:spacing w:line="240" w:lineRule="auto"/>
              <w:rPr>
                <w:color w:val="000000"/>
              </w:rPr>
            </w:pPr>
            <w:r>
              <w:rPr>
                <w:color w:val="000000"/>
              </w:rPr>
              <w:t>Imagem panorâmica colorida e imagem com zoom legível da placa.</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D562185">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3C50A4B6">
            <w:pPr>
              <w:spacing w:line="240" w:lineRule="auto"/>
              <w:rPr>
                <w:color w:val="000000"/>
              </w:rPr>
            </w:pPr>
          </w:p>
        </w:tc>
      </w:tr>
      <w:tr w14:paraId="4F95C645">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E8CC6A0">
            <w:pPr>
              <w:spacing w:line="240" w:lineRule="auto"/>
              <w:ind w:left="69"/>
              <w:rPr>
                <w:color w:val="000000"/>
              </w:rPr>
            </w:pPr>
            <w:r>
              <w:rPr>
                <w:color w:val="000000"/>
              </w:rPr>
              <w:t>Sincronismo do relógio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9ACAD95">
            <w:pPr>
              <w:spacing w:line="240" w:lineRule="auto"/>
              <w:rPr>
                <w:color w:val="000000"/>
              </w:rPr>
            </w:pPr>
            <w:r>
              <w:rPr>
                <w:color w:val="000000"/>
              </w:rPr>
              <w:t>Relógio sincronizado com a central.</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08C1595">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3924B08C">
            <w:pPr>
              <w:spacing w:line="240" w:lineRule="auto"/>
              <w:rPr>
                <w:color w:val="000000"/>
              </w:rPr>
            </w:pPr>
          </w:p>
        </w:tc>
      </w:tr>
      <w:tr w14:paraId="1C83FFC2">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FE435FC">
            <w:pPr>
              <w:spacing w:line="240" w:lineRule="auto"/>
              <w:ind w:left="69"/>
              <w:rPr>
                <w:color w:val="000000"/>
              </w:rPr>
            </w:pPr>
            <w:r>
              <w:rPr>
                <w:color w:val="000000"/>
              </w:rPr>
              <w:t>Alteração da velocidade programada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0F7D41F">
            <w:pPr>
              <w:spacing w:line="240" w:lineRule="auto"/>
              <w:rPr>
                <w:color w:val="000000"/>
              </w:rPr>
            </w:pPr>
            <w:r>
              <w:rPr>
                <w:color w:val="000000"/>
              </w:rPr>
              <w:t>Velocidade alterável conforme demanda e validada pelo INMETRO.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2E917F5B">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ECF9496">
            <w:pPr>
              <w:spacing w:line="240" w:lineRule="auto"/>
              <w:rPr>
                <w:color w:val="000000"/>
              </w:rPr>
            </w:pPr>
          </w:p>
        </w:tc>
      </w:tr>
      <w:tr w14:paraId="21452E63">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EF770F9">
            <w:pPr>
              <w:spacing w:line="240" w:lineRule="auto"/>
              <w:ind w:left="69"/>
              <w:rPr>
                <w:color w:val="000000"/>
              </w:rPr>
            </w:pPr>
            <w:r>
              <w:rPr>
                <w:color w:val="000000"/>
              </w:rPr>
              <w:t>Funcionamento por agendamento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5B5BC79">
            <w:pPr>
              <w:spacing w:line="240" w:lineRule="auto"/>
              <w:rPr>
                <w:color w:val="000000"/>
              </w:rPr>
            </w:pPr>
            <w:r>
              <w:rPr>
                <w:color w:val="000000"/>
              </w:rPr>
              <w:t>Operação em horários programados.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80C5AC0">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3D026E10">
            <w:pPr>
              <w:spacing w:line="240" w:lineRule="auto"/>
              <w:rPr>
                <w:color w:val="000000"/>
              </w:rPr>
            </w:pPr>
          </w:p>
        </w:tc>
      </w:tr>
      <w:tr w14:paraId="6D97EAAF">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61145E2">
            <w:pPr>
              <w:spacing w:line="240" w:lineRule="auto"/>
              <w:ind w:left="69"/>
              <w:rPr>
                <w:color w:val="000000"/>
              </w:rPr>
            </w:pPr>
            <w:r>
              <w:rPr>
                <w:color w:val="000000"/>
              </w:rPr>
              <w:t>Captura com baixa luminosidade</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0FB2D89B">
            <w:pPr>
              <w:spacing w:line="240" w:lineRule="auto"/>
              <w:rPr>
                <w:color w:val="000000"/>
              </w:rPr>
            </w:pPr>
            <w:r>
              <w:rPr>
                <w:color w:val="000000"/>
              </w:rPr>
              <w:t>Uso de IR ou outro método que evite ofuscamento.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B2C5C31">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4FD9B23F">
            <w:pPr>
              <w:spacing w:line="240" w:lineRule="auto"/>
              <w:rPr>
                <w:color w:val="000000"/>
              </w:rPr>
            </w:pPr>
          </w:p>
        </w:tc>
      </w:tr>
      <w:tr w14:paraId="03ED81A2">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78132692">
            <w:pPr>
              <w:spacing w:line="240" w:lineRule="auto"/>
              <w:ind w:left="69"/>
              <w:rPr>
                <w:color w:val="000000"/>
              </w:rPr>
            </w:pPr>
            <w:r>
              <w:rPr>
                <w:color w:val="000000"/>
              </w:rPr>
              <w:t>Aproveitamento técnico mínimo de 80%</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1BB9791">
            <w:pPr>
              <w:spacing w:line="240" w:lineRule="auto"/>
              <w:rPr>
                <w:color w:val="000000"/>
              </w:rPr>
            </w:pPr>
            <w:r>
              <w:rPr>
                <w:color w:val="000000"/>
              </w:rPr>
              <w:t>Descontos proporcionais ao desempenho técnico do equipamento.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4B25823">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28EC14FA">
            <w:pPr>
              <w:spacing w:line="240" w:lineRule="auto"/>
              <w:rPr>
                <w:color w:val="000000"/>
              </w:rPr>
            </w:pPr>
          </w:p>
        </w:tc>
      </w:tr>
      <w:tr w14:paraId="17E24F3A">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4992C9EA">
            <w:pPr>
              <w:spacing w:line="240" w:lineRule="auto"/>
              <w:ind w:left="69"/>
              <w:rPr>
                <w:color w:val="000000"/>
              </w:rPr>
            </w:pPr>
            <w:r>
              <w:rPr>
                <w:color w:val="000000"/>
              </w:rPr>
              <w:t>Operação 24h</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F58FA57">
            <w:pPr>
              <w:spacing w:line="240" w:lineRule="auto"/>
              <w:rPr>
                <w:color w:val="000000"/>
              </w:rPr>
            </w:pPr>
            <w:r>
              <w:rPr>
                <w:color w:val="000000"/>
              </w:rPr>
              <w:t>Funcionamento contínuo para registro de infrações.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3889766">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A24FBF3">
            <w:pPr>
              <w:spacing w:line="240" w:lineRule="auto"/>
              <w:rPr>
                <w:color w:val="000000"/>
              </w:rPr>
            </w:pPr>
          </w:p>
        </w:tc>
      </w:tr>
      <w:tr w14:paraId="2B975F98">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0063584">
            <w:pPr>
              <w:spacing w:line="240" w:lineRule="auto"/>
              <w:ind w:left="69"/>
              <w:rPr>
                <w:color w:val="000000"/>
              </w:rPr>
            </w:pPr>
            <w:r>
              <w:rPr>
                <w:color w:val="000000"/>
              </w:rPr>
              <w:t>Armazenamento de dados de tráfego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93FF3CC">
            <w:pPr>
              <w:spacing w:line="240" w:lineRule="auto"/>
              <w:rPr>
                <w:color w:val="000000"/>
              </w:rPr>
            </w:pPr>
            <w:r>
              <w:rPr>
                <w:color w:val="000000"/>
              </w:rPr>
              <w:t>Registro de quantidade, horário e velocidade dos veículos.</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578DA0F">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18526272">
            <w:pPr>
              <w:spacing w:line="240" w:lineRule="auto"/>
              <w:rPr>
                <w:color w:val="000000"/>
              </w:rPr>
            </w:pPr>
          </w:p>
        </w:tc>
      </w:tr>
      <w:tr w14:paraId="0E867234">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93B1C30">
            <w:pPr>
              <w:spacing w:line="240" w:lineRule="auto"/>
              <w:ind w:left="69"/>
              <w:rPr>
                <w:color w:val="000000"/>
              </w:rPr>
            </w:pPr>
            <w:r>
              <w:rPr>
                <w:color w:val="000000"/>
              </w:rPr>
              <w:t>Registro fora do horário de infração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BB552B4">
            <w:pPr>
              <w:spacing w:line="240" w:lineRule="auto"/>
              <w:rPr>
                <w:color w:val="000000"/>
              </w:rPr>
            </w:pPr>
            <w:r>
              <w:rPr>
                <w:color w:val="000000"/>
              </w:rPr>
              <w:t>Dados registrados mesmo fora do horário programado.</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16328122">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2A90C29B">
            <w:pPr>
              <w:spacing w:line="240" w:lineRule="auto"/>
              <w:rPr>
                <w:color w:val="000000"/>
              </w:rPr>
            </w:pPr>
          </w:p>
        </w:tc>
      </w:tr>
      <w:tr w14:paraId="6725FA14">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56D7E9B7">
            <w:pPr>
              <w:spacing w:line="240" w:lineRule="auto"/>
              <w:ind w:left="69"/>
              <w:rPr>
                <w:color w:val="000000"/>
              </w:rPr>
            </w:pPr>
            <w:r>
              <w:rPr>
                <w:color w:val="000000"/>
              </w:rPr>
              <w:t>Identificação visual detalhada</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342DED7E">
            <w:pPr>
              <w:spacing w:line="240" w:lineRule="auto"/>
              <w:rPr>
                <w:color w:val="000000"/>
              </w:rPr>
            </w:pPr>
            <w:r>
              <w:rPr>
                <w:color w:val="000000"/>
              </w:rPr>
              <w:t>Identificação de placa, marca e espécie com dados completos na imagem.</w:t>
            </w:r>
          </w:p>
        </w:tc>
        <w:tc>
          <w:tcPr>
            <w:tcW w:w="992"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center"/>
          </w:tcPr>
          <w:p w14:paraId="60FCD6B5">
            <w:pPr>
              <w:spacing w:line="240" w:lineRule="auto"/>
              <w:rPr>
                <w:color w:val="000000"/>
              </w:rPr>
            </w:pPr>
          </w:p>
        </w:tc>
        <w:tc>
          <w:tcPr>
            <w:tcW w:w="993" w:type="dxa"/>
            <w:tcBorders>
              <w:top w:val="single" w:color="000000" w:sz="12" w:space="0"/>
              <w:left w:val="single" w:color="000000" w:sz="12" w:space="0"/>
              <w:bottom w:val="single" w:color="000000" w:sz="12" w:space="0"/>
              <w:right w:val="single" w:color="000000" w:sz="12" w:space="0"/>
            </w:tcBorders>
            <w:vAlign w:val="center"/>
          </w:tcPr>
          <w:p w14:paraId="5EC5D916">
            <w:pPr>
              <w:spacing w:line="240" w:lineRule="auto"/>
              <w:rPr>
                <w:color w:val="000000"/>
              </w:rPr>
            </w:pPr>
          </w:p>
        </w:tc>
      </w:tr>
      <w:tr w14:paraId="7D80FB21">
        <w:tblPrEx>
          <w:tblCellMar>
            <w:top w:w="0" w:type="dxa"/>
            <w:left w:w="108" w:type="dxa"/>
            <w:bottom w:w="0" w:type="dxa"/>
            <w:right w:w="108" w:type="dxa"/>
          </w:tblCellMar>
        </w:tblPrEx>
        <w:trPr>
          <w:trHeight w:val="300" w:hRule="atLeast"/>
          <w:jc w:val="center"/>
        </w:trPr>
        <w:tc>
          <w:tcPr>
            <w:tcW w:w="2593" w:type="dxa"/>
            <w:tcBorders>
              <w:top w:val="single" w:color="000000" w:sz="12" w:space="0"/>
              <w:bottom w:val="single" w:color="000000" w:sz="12" w:space="0"/>
            </w:tcBorders>
            <w:tcMar>
              <w:top w:w="0" w:type="dxa"/>
              <w:left w:w="40" w:type="dxa"/>
              <w:bottom w:w="0" w:type="dxa"/>
              <w:right w:w="40" w:type="dxa"/>
            </w:tcMar>
            <w:vAlign w:val="bottom"/>
          </w:tcPr>
          <w:p w14:paraId="36F7D058">
            <w:pPr>
              <w:spacing w:line="240" w:lineRule="auto"/>
              <w:ind w:left="69"/>
              <w:rPr>
                <w:color w:val="000000"/>
              </w:rPr>
            </w:pPr>
          </w:p>
        </w:tc>
        <w:tc>
          <w:tcPr>
            <w:tcW w:w="4338" w:type="dxa"/>
            <w:tcBorders>
              <w:top w:val="single" w:color="000000" w:sz="12" w:space="0"/>
              <w:bottom w:val="single" w:color="000000" w:sz="12" w:space="0"/>
            </w:tcBorders>
            <w:tcMar>
              <w:top w:w="0" w:type="dxa"/>
              <w:left w:w="40" w:type="dxa"/>
              <w:bottom w:w="0" w:type="dxa"/>
              <w:right w:w="40" w:type="dxa"/>
            </w:tcMar>
            <w:vAlign w:val="bottom"/>
          </w:tcPr>
          <w:p w14:paraId="5C009C34">
            <w:pPr>
              <w:spacing w:line="240" w:lineRule="auto"/>
              <w:rPr>
                <w:rFonts w:ascii="Times New Roman" w:hAnsi="Times New Roman" w:eastAsia="Times New Roman" w:cs="Times New Roman"/>
              </w:rPr>
            </w:pPr>
          </w:p>
        </w:tc>
        <w:tc>
          <w:tcPr>
            <w:tcW w:w="992" w:type="dxa"/>
            <w:tcBorders>
              <w:top w:val="single" w:color="000000" w:sz="12" w:space="0"/>
            </w:tcBorders>
            <w:tcMar>
              <w:top w:w="0" w:type="dxa"/>
              <w:left w:w="40" w:type="dxa"/>
              <w:bottom w:w="0" w:type="dxa"/>
              <w:right w:w="40" w:type="dxa"/>
            </w:tcMar>
            <w:vAlign w:val="bottom"/>
          </w:tcPr>
          <w:p w14:paraId="1E7567BC">
            <w:pPr>
              <w:spacing w:line="240" w:lineRule="auto"/>
              <w:rPr>
                <w:rFonts w:ascii="Times New Roman" w:hAnsi="Times New Roman" w:eastAsia="Times New Roman" w:cs="Times New Roman"/>
              </w:rPr>
            </w:pPr>
          </w:p>
        </w:tc>
        <w:tc>
          <w:tcPr>
            <w:tcW w:w="993" w:type="dxa"/>
            <w:tcBorders>
              <w:top w:val="single" w:color="000000" w:sz="12" w:space="0"/>
            </w:tcBorders>
            <w:tcMar>
              <w:top w:w="0" w:type="dxa"/>
              <w:left w:w="40" w:type="dxa"/>
              <w:bottom w:w="0" w:type="dxa"/>
              <w:right w:w="40" w:type="dxa"/>
            </w:tcMar>
            <w:vAlign w:val="bottom"/>
          </w:tcPr>
          <w:p w14:paraId="19195FE8">
            <w:pPr>
              <w:spacing w:line="240" w:lineRule="auto"/>
              <w:rPr>
                <w:rFonts w:ascii="Times New Roman" w:hAnsi="Times New Roman" w:eastAsia="Times New Roman" w:cs="Times New Roman"/>
              </w:rPr>
            </w:pPr>
          </w:p>
        </w:tc>
      </w:tr>
      <w:tr w14:paraId="65123157">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582F1580">
            <w:pPr>
              <w:spacing w:line="240" w:lineRule="auto"/>
              <w:ind w:left="69"/>
              <w:rPr>
                <w:color w:val="000000"/>
              </w:rPr>
            </w:pPr>
            <w:r>
              <w:rPr>
                <w:color w:val="000000"/>
              </w:rPr>
              <w:t>CNPJ</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2158BAB9">
            <w:pPr>
              <w:spacing w:line="240" w:lineRule="auto"/>
              <w:rPr>
                <w:rFonts w:ascii="Times New Roman" w:hAnsi="Times New Roman" w:eastAsia="Times New Roman" w:cs="Times New Roman"/>
              </w:rPr>
            </w:pPr>
          </w:p>
        </w:tc>
        <w:tc>
          <w:tcPr>
            <w:tcW w:w="992" w:type="dxa"/>
            <w:tcBorders>
              <w:left w:val="single" w:color="000000" w:sz="12" w:space="0"/>
              <w:bottom w:val="single" w:color="CCCCCC" w:sz="6" w:space="0"/>
              <w:right w:val="single" w:color="CCCCCC" w:sz="6" w:space="0"/>
            </w:tcBorders>
            <w:tcMar>
              <w:top w:w="0" w:type="dxa"/>
              <w:left w:w="40" w:type="dxa"/>
              <w:bottom w:w="0" w:type="dxa"/>
              <w:right w:w="40" w:type="dxa"/>
            </w:tcMar>
            <w:vAlign w:val="bottom"/>
          </w:tcPr>
          <w:p w14:paraId="64002246">
            <w:pPr>
              <w:spacing w:line="240" w:lineRule="auto"/>
              <w:rPr>
                <w:rFonts w:ascii="Times New Roman" w:hAnsi="Times New Roman" w:eastAsia="Times New Roman" w:cs="Times New Roman"/>
              </w:rPr>
            </w:pPr>
          </w:p>
        </w:tc>
        <w:tc>
          <w:tcPr>
            <w:tcW w:w="993" w:type="dxa"/>
            <w:tcBorders>
              <w:left w:val="single" w:color="CCCCCC" w:sz="6" w:space="0"/>
              <w:bottom w:val="single" w:color="CCCCCC" w:sz="6" w:space="0"/>
              <w:right w:val="single" w:color="CCCCCC" w:sz="6" w:space="0"/>
            </w:tcBorders>
            <w:tcMar>
              <w:top w:w="0" w:type="dxa"/>
              <w:left w:w="40" w:type="dxa"/>
              <w:bottom w:w="0" w:type="dxa"/>
              <w:right w:w="40" w:type="dxa"/>
            </w:tcMar>
            <w:vAlign w:val="bottom"/>
          </w:tcPr>
          <w:p w14:paraId="742FB3D0">
            <w:pPr>
              <w:spacing w:line="240" w:lineRule="auto"/>
              <w:rPr>
                <w:rFonts w:ascii="Times New Roman" w:hAnsi="Times New Roman" w:eastAsia="Times New Roman" w:cs="Times New Roman"/>
              </w:rPr>
            </w:pPr>
          </w:p>
        </w:tc>
      </w:tr>
      <w:tr w14:paraId="321DED3D">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05FBBD56">
            <w:pPr>
              <w:spacing w:line="240" w:lineRule="auto"/>
              <w:ind w:left="69"/>
              <w:rPr>
                <w:color w:val="000000"/>
              </w:rPr>
            </w:pPr>
            <w:r>
              <w:rPr>
                <w:color w:val="000000"/>
              </w:rPr>
              <w:t>Resultado Mínimo</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259B40D8">
            <w:pPr>
              <w:spacing w:line="240" w:lineRule="auto"/>
              <w:rPr>
                <w:rFonts w:ascii="Times New Roman" w:hAnsi="Times New Roman" w:eastAsia="Times New Roman" w:cs="Times New Roman"/>
              </w:rPr>
            </w:pPr>
            <w:r>
              <w:rPr>
                <w:b/>
                <w:color w:val="000000"/>
              </w:rPr>
              <w:t>95%</w:t>
            </w:r>
          </w:p>
        </w:tc>
        <w:tc>
          <w:tcPr>
            <w:tcW w:w="992" w:type="dxa"/>
            <w:tcBorders>
              <w:top w:val="single" w:color="CCCCCC" w:sz="6" w:space="0"/>
              <w:left w:val="single" w:color="000000" w:sz="12" w:space="0"/>
              <w:bottom w:val="single" w:color="CCCCCC" w:sz="6" w:space="0"/>
              <w:right w:val="single" w:color="CCCCCC" w:sz="6" w:space="0"/>
            </w:tcBorders>
            <w:tcMar>
              <w:top w:w="0" w:type="dxa"/>
              <w:left w:w="40" w:type="dxa"/>
              <w:bottom w:w="0" w:type="dxa"/>
              <w:right w:w="40" w:type="dxa"/>
            </w:tcMar>
            <w:vAlign w:val="bottom"/>
          </w:tcPr>
          <w:p w14:paraId="50136593">
            <w:pPr>
              <w:spacing w:line="240" w:lineRule="auto"/>
              <w:rPr>
                <w:rFonts w:ascii="Times New Roman" w:hAnsi="Times New Roman" w:eastAsia="Times New Roman" w:cs="Times New Roman"/>
              </w:rPr>
            </w:pPr>
          </w:p>
        </w:tc>
        <w:tc>
          <w:tcPr>
            <w:tcW w:w="993" w:type="dxa"/>
            <w:tcBorders>
              <w:top w:val="single" w:color="CCCCCC" w:sz="6" w:space="0"/>
              <w:left w:val="single" w:color="CCCCCC" w:sz="6" w:space="0"/>
              <w:bottom w:val="single" w:color="CCCCCC" w:sz="6" w:space="0"/>
              <w:right w:val="single" w:color="CCCCCC" w:sz="6" w:space="0"/>
            </w:tcBorders>
            <w:tcMar>
              <w:top w:w="0" w:type="dxa"/>
              <w:left w:w="40" w:type="dxa"/>
              <w:bottom w:w="0" w:type="dxa"/>
              <w:right w:w="40" w:type="dxa"/>
            </w:tcMar>
            <w:vAlign w:val="bottom"/>
          </w:tcPr>
          <w:p w14:paraId="132CA0B5">
            <w:pPr>
              <w:spacing w:line="240" w:lineRule="auto"/>
              <w:rPr>
                <w:rFonts w:ascii="Times New Roman" w:hAnsi="Times New Roman" w:eastAsia="Times New Roman" w:cs="Times New Roman"/>
              </w:rPr>
            </w:pPr>
          </w:p>
        </w:tc>
      </w:tr>
      <w:tr w14:paraId="6EDA8E2F">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4122FA74">
            <w:pPr>
              <w:spacing w:line="240" w:lineRule="auto"/>
              <w:ind w:left="69"/>
              <w:rPr>
                <w:color w:val="000000"/>
              </w:rPr>
            </w:pPr>
            <w:r>
              <w:rPr>
                <w:color w:val="000000"/>
              </w:rPr>
              <w:t>Resultado obtido (1 ponto para cada “SIM”)</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75EEFDF1">
            <w:pPr>
              <w:spacing w:line="240" w:lineRule="auto"/>
              <w:rPr>
                <w:rFonts w:ascii="Times New Roman" w:hAnsi="Times New Roman" w:eastAsia="Times New Roman" w:cs="Times New Roman"/>
              </w:rPr>
            </w:pPr>
          </w:p>
        </w:tc>
        <w:tc>
          <w:tcPr>
            <w:tcW w:w="992" w:type="dxa"/>
            <w:tcBorders>
              <w:top w:val="single" w:color="CCCCCC" w:sz="6" w:space="0"/>
              <w:left w:val="single" w:color="000000" w:sz="12" w:space="0"/>
              <w:bottom w:val="single" w:color="CCCCCC" w:sz="6" w:space="0"/>
              <w:right w:val="single" w:color="CCCCCC" w:sz="6" w:space="0"/>
            </w:tcBorders>
            <w:tcMar>
              <w:top w:w="0" w:type="dxa"/>
              <w:left w:w="40" w:type="dxa"/>
              <w:bottom w:w="0" w:type="dxa"/>
              <w:right w:w="40" w:type="dxa"/>
            </w:tcMar>
            <w:vAlign w:val="bottom"/>
          </w:tcPr>
          <w:p w14:paraId="6C910387">
            <w:pPr>
              <w:spacing w:line="240" w:lineRule="auto"/>
              <w:rPr>
                <w:rFonts w:ascii="Times New Roman" w:hAnsi="Times New Roman" w:eastAsia="Times New Roman" w:cs="Times New Roman"/>
              </w:rPr>
            </w:pPr>
          </w:p>
        </w:tc>
        <w:tc>
          <w:tcPr>
            <w:tcW w:w="993" w:type="dxa"/>
            <w:tcBorders>
              <w:top w:val="single" w:color="CCCCCC" w:sz="6" w:space="0"/>
              <w:left w:val="single" w:color="CCCCCC" w:sz="6" w:space="0"/>
              <w:bottom w:val="single" w:color="CCCCCC" w:sz="6" w:space="0"/>
              <w:right w:val="single" w:color="CCCCCC" w:sz="6" w:space="0"/>
            </w:tcBorders>
            <w:tcMar>
              <w:top w:w="0" w:type="dxa"/>
              <w:left w:w="40" w:type="dxa"/>
              <w:bottom w:w="0" w:type="dxa"/>
              <w:right w:w="40" w:type="dxa"/>
            </w:tcMar>
            <w:vAlign w:val="bottom"/>
          </w:tcPr>
          <w:p w14:paraId="12415159">
            <w:pPr>
              <w:spacing w:line="240" w:lineRule="auto"/>
              <w:rPr>
                <w:rFonts w:ascii="Times New Roman" w:hAnsi="Times New Roman" w:eastAsia="Times New Roman" w:cs="Times New Roman"/>
              </w:rPr>
            </w:pPr>
          </w:p>
        </w:tc>
      </w:tr>
      <w:tr w14:paraId="7FC821DA">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518D8C85">
            <w:pPr>
              <w:spacing w:line="240" w:lineRule="auto"/>
              <w:ind w:left="69"/>
              <w:rPr>
                <w:color w:val="000000"/>
              </w:rPr>
            </w:pPr>
            <w:r>
              <w:rPr>
                <w:color w:val="000000"/>
              </w:rPr>
              <w:t>Avaliação Final</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3E54B670">
            <w:pPr>
              <w:spacing w:line="240" w:lineRule="auto"/>
              <w:rPr>
                <w:rFonts w:ascii="Times New Roman" w:hAnsi="Times New Roman" w:eastAsia="Times New Roman" w:cs="Times New Roman"/>
              </w:rPr>
            </w:pPr>
          </w:p>
        </w:tc>
        <w:tc>
          <w:tcPr>
            <w:tcW w:w="992" w:type="dxa"/>
            <w:tcBorders>
              <w:top w:val="single" w:color="CCCCCC" w:sz="6" w:space="0"/>
              <w:left w:val="single" w:color="000000" w:sz="12" w:space="0"/>
              <w:bottom w:val="single" w:color="CCCCCC" w:sz="6" w:space="0"/>
              <w:right w:val="single" w:color="CCCCCC" w:sz="6" w:space="0"/>
            </w:tcBorders>
            <w:tcMar>
              <w:top w:w="0" w:type="dxa"/>
              <w:left w:w="40" w:type="dxa"/>
              <w:bottom w:w="0" w:type="dxa"/>
              <w:right w:w="40" w:type="dxa"/>
            </w:tcMar>
            <w:vAlign w:val="bottom"/>
          </w:tcPr>
          <w:p w14:paraId="52E7C4A6">
            <w:pPr>
              <w:spacing w:line="240" w:lineRule="auto"/>
              <w:rPr>
                <w:rFonts w:ascii="Times New Roman" w:hAnsi="Times New Roman" w:eastAsia="Times New Roman" w:cs="Times New Roman"/>
              </w:rPr>
            </w:pPr>
          </w:p>
        </w:tc>
        <w:tc>
          <w:tcPr>
            <w:tcW w:w="993" w:type="dxa"/>
            <w:tcBorders>
              <w:top w:val="single" w:color="CCCCCC" w:sz="6" w:space="0"/>
              <w:left w:val="single" w:color="CCCCCC" w:sz="6" w:space="0"/>
              <w:bottom w:val="single" w:color="CCCCCC" w:sz="6" w:space="0"/>
              <w:right w:val="single" w:color="CCCCCC" w:sz="6" w:space="0"/>
            </w:tcBorders>
            <w:tcMar>
              <w:top w:w="0" w:type="dxa"/>
              <w:left w:w="40" w:type="dxa"/>
              <w:bottom w:w="0" w:type="dxa"/>
              <w:right w:w="40" w:type="dxa"/>
            </w:tcMar>
            <w:vAlign w:val="bottom"/>
          </w:tcPr>
          <w:p w14:paraId="206FE59B">
            <w:pPr>
              <w:spacing w:line="240" w:lineRule="auto"/>
              <w:rPr>
                <w:rFonts w:ascii="Times New Roman" w:hAnsi="Times New Roman" w:eastAsia="Times New Roman" w:cs="Times New Roman"/>
              </w:rPr>
            </w:pPr>
          </w:p>
        </w:tc>
      </w:tr>
      <w:tr w14:paraId="318CD833">
        <w:tblPrEx>
          <w:tblCellMar>
            <w:top w:w="0" w:type="dxa"/>
            <w:left w:w="108" w:type="dxa"/>
            <w:bottom w:w="0" w:type="dxa"/>
            <w:right w:w="108" w:type="dxa"/>
          </w:tblCellMar>
        </w:tblPrEx>
        <w:trPr>
          <w:trHeight w:val="300" w:hRule="atLeast"/>
          <w:jc w:val="center"/>
        </w:trPr>
        <w:tc>
          <w:tcPr>
            <w:tcW w:w="2593"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3BC7B164">
            <w:pPr>
              <w:spacing w:line="240" w:lineRule="auto"/>
              <w:ind w:left="69"/>
              <w:rPr>
                <w:color w:val="000000"/>
              </w:rPr>
            </w:pPr>
            <w:r>
              <w:rPr>
                <w:color w:val="000000"/>
              </w:rPr>
              <w:t>Data da realização da POC</w:t>
            </w:r>
          </w:p>
        </w:tc>
        <w:tc>
          <w:tcPr>
            <w:tcW w:w="4338" w:type="dxa"/>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76ED1348">
            <w:pPr>
              <w:spacing w:line="240" w:lineRule="auto"/>
              <w:rPr>
                <w:rFonts w:ascii="Times New Roman" w:hAnsi="Times New Roman" w:eastAsia="Times New Roman" w:cs="Times New Roman"/>
              </w:rPr>
            </w:pPr>
          </w:p>
        </w:tc>
        <w:tc>
          <w:tcPr>
            <w:tcW w:w="992" w:type="dxa"/>
            <w:tcBorders>
              <w:top w:val="single" w:color="CCCCCC" w:sz="6" w:space="0"/>
              <w:left w:val="single" w:color="000000" w:sz="12" w:space="0"/>
              <w:bottom w:val="single" w:color="CCCCCC" w:sz="6" w:space="0"/>
              <w:right w:val="single" w:color="CCCCCC" w:sz="6" w:space="0"/>
            </w:tcBorders>
            <w:tcMar>
              <w:top w:w="0" w:type="dxa"/>
              <w:left w:w="40" w:type="dxa"/>
              <w:bottom w:w="0" w:type="dxa"/>
              <w:right w:w="40" w:type="dxa"/>
            </w:tcMar>
            <w:vAlign w:val="bottom"/>
          </w:tcPr>
          <w:p w14:paraId="000995B7">
            <w:pPr>
              <w:spacing w:line="240" w:lineRule="auto"/>
              <w:rPr>
                <w:rFonts w:ascii="Times New Roman" w:hAnsi="Times New Roman" w:eastAsia="Times New Roman" w:cs="Times New Roman"/>
              </w:rPr>
            </w:pPr>
          </w:p>
        </w:tc>
        <w:tc>
          <w:tcPr>
            <w:tcW w:w="993" w:type="dxa"/>
            <w:tcBorders>
              <w:top w:val="single" w:color="CCCCCC" w:sz="6" w:space="0"/>
              <w:left w:val="single" w:color="CCCCCC" w:sz="6" w:space="0"/>
              <w:bottom w:val="single" w:color="CCCCCC" w:sz="6" w:space="0"/>
              <w:right w:val="single" w:color="CCCCCC" w:sz="6" w:space="0"/>
            </w:tcBorders>
            <w:tcMar>
              <w:top w:w="0" w:type="dxa"/>
              <w:left w:w="40" w:type="dxa"/>
              <w:bottom w:w="0" w:type="dxa"/>
              <w:right w:w="40" w:type="dxa"/>
            </w:tcMar>
            <w:vAlign w:val="bottom"/>
          </w:tcPr>
          <w:p w14:paraId="0AC137F8">
            <w:pPr>
              <w:spacing w:line="240" w:lineRule="auto"/>
              <w:rPr>
                <w:rFonts w:ascii="Times New Roman" w:hAnsi="Times New Roman" w:eastAsia="Times New Roman" w:cs="Times New Roman"/>
              </w:rPr>
            </w:pPr>
          </w:p>
        </w:tc>
      </w:tr>
      <w:tr w14:paraId="07123C88">
        <w:tblPrEx>
          <w:tblCellMar>
            <w:top w:w="0" w:type="dxa"/>
            <w:left w:w="108" w:type="dxa"/>
            <w:bottom w:w="0" w:type="dxa"/>
            <w:right w:w="108" w:type="dxa"/>
          </w:tblCellMar>
        </w:tblPrEx>
        <w:trPr>
          <w:trHeight w:val="300" w:hRule="atLeast"/>
          <w:jc w:val="center"/>
        </w:trPr>
        <w:tc>
          <w:tcPr>
            <w:tcW w:w="6931" w:type="dxa"/>
            <w:gridSpan w:val="2"/>
            <w:tcBorders>
              <w:top w:val="single" w:color="000000" w:sz="12" w:space="0"/>
              <w:left w:val="single" w:color="000000" w:sz="12" w:space="0"/>
              <w:bottom w:val="single" w:color="000000" w:sz="12" w:space="0"/>
              <w:right w:val="single" w:color="000000" w:sz="12" w:space="0"/>
            </w:tcBorders>
            <w:tcMar>
              <w:top w:w="0" w:type="dxa"/>
              <w:left w:w="40" w:type="dxa"/>
              <w:bottom w:w="0" w:type="dxa"/>
              <w:right w:w="40" w:type="dxa"/>
            </w:tcMar>
            <w:vAlign w:val="bottom"/>
          </w:tcPr>
          <w:p w14:paraId="034ED904">
            <w:pPr>
              <w:spacing w:line="240" w:lineRule="auto"/>
              <w:rPr>
                <w:rFonts w:ascii="Times New Roman" w:hAnsi="Times New Roman" w:eastAsia="Times New Roman" w:cs="Times New Roman"/>
              </w:rPr>
            </w:pPr>
            <w:r>
              <w:rPr>
                <w:color w:val="000000"/>
              </w:rPr>
              <w:t>Avaliadores</w:t>
            </w:r>
          </w:p>
        </w:tc>
        <w:tc>
          <w:tcPr>
            <w:tcW w:w="992" w:type="dxa"/>
            <w:tcBorders>
              <w:top w:val="single" w:color="CCCCCC" w:sz="6" w:space="0"/>
              <w:left w:val="single" w:color="000000" w:sz="12" w:space="0"/>
              <w:bottom w:val="single" w:color="CCCCCC" w:sz="6" w:space="0"/>
              <w:right w:val="single" w:color="CCCCCC" w:sz="6" w:space="0"/>
            </w:tcBorders>
            <w:tcMar>
              <w:top w:w="0" w:type="dxa"/>
              <w:left w:w="40" w:type="dxa"/>
              <w:bottom w:w="0" w:type="dxa"/>
              <w:right w:w="40" w:type="dxa"/>
            </w:tcMar>
            <w:vAlign w:val="bottom"/>
          </w:tcPr>
          <w:p w14:paraId="02E83078">
            <w:pPr>
              <w:spacing w:line="240" w:lineRule="auto"/>
              <w:rPr>
                <w:rFonts w:ascii="Times New Roman" w:hAnsi="Times New Roman" w:eastAsia="Times New Roman" w:cs="Times New Roman"/>
              </w:rPr>
            </w:pPr>
          </w:p>
        </w:tc>
        <w:tc>
          <w:tcPr>
            <w:tcW w:w="993" w:type="dxa"/>
            <w:tcBorders>
              <w:top w:val="single" w:color="CCCCCC" w:sz="6" w:space="0"/>
              <w:left w:val="single" w:color="CCCCCC" w:sz="6" w:space="0"/>
              <w:bottom w:val="single" w:color="CCCCCC" w:sz="6" w:space="0"/>
              <w:right w:val="single" w:color="CCCCCC" w:sz="6" w:space="0"/>
            </w:tcBorders>
            <w:tcMar>
              <w:top w:w="0" w:type="dxa"/>
              <w:left w:w="40" w:type="dxa"/>
              <w:bottom w:w="0" w:type="dxa"/>
              <w:right w:w="40" w:type="dxa"/>
            </w:tcMar>
            <w:vAlign w:val="bottom"/>
          </w:tcPr>
          <w:p w14:paraId="2098200C">
            <w:pPr>
              <w:spacing w:line="240" w:lineRule="auto"/>
              <w:rPr>
                <w:rFonts w:ascii="Times New Roman" w:hAnsi="Times New Roman" w:eastAsia="Times New Roman" w:cs="Times New Roman"/>
              </w:rPr>
            </w:pPr>
          </w:p>
        </w:tc>
      </w:tr>
    </w:tbl>
    <w:p w14:paraId="64ABC815">
      <w:pPr>
        <w:spacing w:before="240"/>
        <w:jc w:val="both"/>
      </w:pPr>
    </w:p>
    <w:sectPr>
      <w:headerReference r:id="rId7" w:type="first"/>
      <w:footerReference r:id="rId10" w:type="first"/>
      <w:headerReference r:id="rId5" w:type="default"/>
      <w:footerReference r:id="rId8" w:type="default"/>
      <w:headerReference r:id="rId6" w:type="even"/>
      <w:footerReference r:id="rId9" w:type="even"/>
      <w:pgSz w:w="11906" w:h="16838"/>
      <w:pgMar w:top="1028" w:right="1274" w:bottom="993" w:left="1418" w:header="0" w:footer="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embedRegular r:id="rId1" w:fontKey="{307EC542-3C13-47AB-8F94-9B75A326BE63}"/>
  </w:font>
  <w:font w:name="Arial">
    <w:panose1 w:val="020B0604020202020204"/>
    <w:charset w:val="86"/>
    <w:family w:val="swiss"/>
    <w:pitch w:val="default"/>
    <w:sig w:usb0="E0002EFF" w:usb1="C000785B" w:usb2="00000009" w:usb3="00000000" w:csb0="400001FF" w:csb1="FFFF0000"/>
    <w:embedRegular r:id="rId2" w:fontKey="{6369CA90-1F61-4FAE-84F4-DC4CDA3AA5E6}"/>
  </w:font>
  <w:font w:name="Courier New">
    <w:panose1 w:val="02070309020205020404"/>
    <w:charset w:val="00"/>
    <w:family w:val="modern"/>
    <w:pitch w:val="default"/>
    <w:sig w:usb0="E0002EFF" w:usb1="C0007843" w:usb2="00000009" w:usb3="00000000" w:csb0="400001FF" w:csb1="FFFF0000"/>
    <w:embedRegular r:id="rId3" w:fontKey="{9F865329-1A64-438B-BAFB-5AD4D004B640}"/>
  </w:font>
  <w:font w:name="Symbol">
    <w:panose1 w:val="05050102010706020507"/>
    <w:charset w:val="02"/>
    <w:family w:val="roman"/>
    <w:pitch w:val="default"/>
    <w:sig w:usb0="00000000" w:usb1="00000000" w:usb2="00000000" w:usb3="00000000" w:csb0="80000000" w:csb1="00000000"/>
    <w:embedRegular r:id="rId4" w:fontKey="{52372AF6-28CC-430C-8778-CB50DFEEB8A7}"/>
  </w:font>
  <w:font w:name="SimHei">
    <w:altName w:val="SimSun"/>
    <w:panose1 w:val="02010609060101010101"/>
    <w:charset w:val="86"/>
    <w:family w:val="modern"/>
    <w:pitch w:val="default"/>
    <w:sig w:usb0="800002BF" w:usb1="38CF7CFA" w:usb2="00000016" w:usb3="00000000" w:csb0="00040001" w:csb1="00000000"/>
  </w:font>
  <w:font w:name="Calibri">
    <w:panose1 w:val="020F0502020204030204"/>
    <w:charset w:val="00"/>
    <w:family w:val="swiss"/>
    <w:pitch w:val="default"/>
    <w:sig w:usb0="E4002EFF" w:usb1="C000247B" w:usb2="00000009" w:usb3="00000000" w:csb0="200001FF" w:csb1="00000000"/>
    <w:embedRegular r:id="rId5" w:fontKey="{F7357F60-9674-497C-9A07-8E689CA5679B}"/>
  </w:font>
  <w:font w:name="+Corpo">
    <w:altName w:val="Liberation Mono"/>
    <w:panose1 w:val="00000000000000000000"/>
    <w:charset w:val="00"/>
    <w:family w:val="auto"/>
    <w:pitch w:val="default"/>
    <w:sig w:usb0="00000000" w:usb1="00000000" w:usb2="00000000" w:usb3="00000000" w:csb0="00000000" w:csb1="00000000"/>
  </w:font>
  <w:font w:name="Play">
    <w:altName w:val="Times New Roman"/>
    <w:panose1 w:val="00000000000000000000"/>
    <w:charset w:val="00"/>
    <w:family w:val="auto"/>
    <w:pitch w:val="default"/>
    <w:sig w:usb0="00000000" w:usb1="00000000" w:usb2="00000000" w:usb3="00000000" w:csb0="00000000" w:csb1="00000000"/>
  </w:font>
  <w:font w:name="Aptos">
    <w:altName w:val="Arial"/>
    <w:panose1 w:val="00000000000000000000"/>
    <w:charset w:val="00"/>
    <w:family w:val="swiss"/>
    <w:pitch w:val="default"/>
    <w:sig w:usb0="00000000" w:usb1="00000000" w:usb2="00000000" w:usb3="00000000" w:csb0="0000019F" w:csb1="00000000"/>
  </w:font>
  <w:font w:name="Cambria">
    <w:panose1 w:val="02040503050406030204"/>
    <w:charset w:val="00"/>
    <w:family w:val="roman"/>
    <w:pitch w:val="default"/>
    <w:sig w:usb0="E00006FF" w:usb1="420024FF" w:usb2="02000000" w:usb3="00000000" w:csb0="2000019F" w:csb1="00000000"/>
    <w:embedRegular r:id="rId6" w:fontKey="{63989EEF-247B-45B4-855E-0FD142339C5D}"/>
  </w:font>
  <w:font w:name="Arial MT">
    <w:altName w:val="Arial"/>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embedRegular r:id="rId7" w:fontKey="{288B2BD9-872D-4526-8D43-06E7F3B01973}"/>
  </w:font>
  <w:font w:name="Liberation Serif">
    <w:panose1 w:val="02020603050405020304"/>
    <w:charset w:val="00"/>
    <w:family w:val="roman"/>
    <w:pitch w:val="default"/>
    <w:sig w:usb0="E0000AFF" w:usb1="500078FF" w:usb2="00000021" w:usb3="00000000" w:csb0="600001BF" w:csb1="DFF70000"/>
    <w:embedRegular r:id="rId8" w:fontKey="{216422E8-EFD7-47BF-9334-605ADBC45B53}"/>
  </w:font>
  <w:font w:name="NSimSun">
    <w:panose1 w:val="02010609030101010101"/>
    <w:charset w:val="86"/>
    <w:family w:val="modern"/>
    <w:pitch w:val="default"/>
    <w:sig w:usb0="00000203" w:usb1="288F0000" w:usb2="00000006" w:usb3="00000000" w:csb0="00040001" w:csb1="00000000"/>
  </w:font>
  <w:font w:name="Lucida Sans">
    <w:panose1 w:val="020B0602030504020204"/>
    <w:charset w:val="00"/>
    <w:family w:val="swiss"/>
    <w:pitch w:val="default"/>
    <w:sig w:usb0="00000003" w:usb1="00000000" w:usb2="00000000" w:usb3="00000000" w:csb0="20000001" w:csb1="00000000"/>
    <w:embedRegular r:id="rId9" w:fontKey="{C250246B-A4AD-4258-990D-E86B050D2672}"/>
  </w:font>
  <w:font w:name="Ecofont_Spranq_eco_Sans">
    <w:altName w:val="Malgun Gothic"/>
    <w:panose1 w:val="00000000000000000000"/>
    <w:charset w:val="00"/>
    <w:family w:val="swiss"/>
    <w:pitch w:val="default"/>
    <w:sig w:usb0="00000000" w:usb1="00000000" w:usb2="00000000" w:usb3="00000000" w:csb0="00000001" w:csb1="00000000"/>
  </w:font>
  <w:font w:name="Wingdings">
    <w:panose1 w:val="05000000000000000000"/>
    <w:charset w:val="02"/>
    <w:family w:val="auto"/>
    <w:pitch w:val="default"/>
    <w:sig w:usb0="00000000" w:usb1="00000000" w:usb2="00000000" w:usb3="00000000" w:csb0="80000000" w:csb1="00000000"/>
    <w:embedRegular r:id="rId10" w:fontKey="{6C68EA28-C57A-49E5-8158-A7E06708CC7D}"/>
  </w:font>
  <w:font w:name="MS Mincho">
    <w:altName w:val="Yu Gothic UI"/>
    <w:panose1 w:val="02020609040205080304"/>
    <w:charset w:val="80"/>
    <w:family w:val="roman"/>
    <w:pitch w:val="default"/>
    <w:sig w:usb0="00000000" w:usb1="00000000" w:usb2="00000010" w:usb3="00000000" w:csb0="00020000" w:csb1="00000000"/>
  </w:font>
  <w:font w:name="Liberation Sans">
    <w:panose1 w:val="020B0604020202020204"/>
    <w:charset w:val="00"/>
    <w:family w:val="swiss"/>
    <w:pitch w:val="default"/>
    <w:sig w:usb0="E0000AFF" w:usb1="500078FF" w:usb2="00000021" w:usb3="00000000" w:csb0="600001BF" w:csb1="DFF70000"/>
    <w:embedRegular r:id="rId11" w:fontKey="{07D4E9E5-02BB-4927-A0DE-E7B07841EFAC}"/>
  </w:font>
  <w:font w:name="Microsoft YaHei">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embedRegular r:id="rId12" w:fontKey="{295C91CD-834B-47D3-90EB-436FA890CDAA}"/>
  </w:font>
  <w:font w:name="Verdana">
    <w:panose1 w:val="020B0604030504040204"/>
    <w:charset w:val="00"/>
    <w:family w:val="swiss"/>
    <w:pitch w:val="default"/>
    <w:sig w:usb0="A00006FF" w:usb1="4000205B" w:usb2="00000010" w:usb3="00000000" w:csb0="2000019F" w:csb1="00000000"/>
    <w:embedRegular r:id="rId13" w:fontKey="{6842D3B9-C34F-4E61-A394-42C4F7B2AC80}"/>
  </w:font>
  <w:font w:name="Noto Sans Symbols">
    <w:altName w:val="Times New Roman"/>
    <w:panose1 w:val="00000000000000000000"/>
    <w:charset w:val="00"/>
    <w:family w:val="auto"/>
    <w:pitch w:val="default"/>
    <w:sig w:usb0="00000000" w:usb1="00000000" w:usb2="00000000" w:usb3="00000000" w:csb0="00000000" w:csb1="00000000"/>
  </w:font>
  <w:font w:name="Helvetica">
    <w:altName w:val="Arial"/>
    <w:panose1 w:val="020B0604020202020204"/>
    <w:charset w:val="00"/>
    <w:family w:val="swiss"/>
    <w:pitch w:val="default"/>
    <w:sig w:usb0="00000000" w:usb1="00000000" w:usb2="00000009" w:usb3="00000000" w:csb0="000001FF" w:csb1="00000000"/>
    <w:embedRegular r:id="rId14" w:fontKey="{638C97C1-77E0-4CBE-80E0-656D1C98D66C}"/>
  </w:font>
  <w:font w:name="Arial">
    <w:panose1 w:val="020B0604020202020204"/>
    <w:charset w:val="00"/>
    <w:family w:val="auto"/>
    <w:pitch w:val="default"/>
    <w:sig w:usb0="E0002EFF" w:usb1="C000785B" w:usb2="00000009" w:usb3="00000000" w:csb0="400001FF" w:csb1="FFFF0000"/>
    <w:embedRegular r:id="rId15" w:fontKey="{1988B7DA-D03D-4D73-AC41-C4C4A40746EC}"/>
  </w:font>
  <w:font w:name="Malgun Gothic">
    <w:panose1 w:val="020B0503020000020004"/>
    <w:charset w:val="81"/>
    <w:family w:val="auto"/>
    <w:pitch w:val="default"/>
    <w:sig w:usb0="9000002F" w:usb1="29D77CFB" w:usb2="00000012" w:usb3="00000000" w:csb0="00080001" w:csb1="00000000"/>
  </w:font>
  <w:font w:name="Yu Gothic UI">
    <w:panose1 w:val="020B0500000000000000"/>
    <w:charset w:val="80"/>
    <w:family w:val="auto"/>
    <w:pitch w:val="default"/>
    <w:sig w:usb0="E00002FF" w:usb1="2AC7FDFF" w:usb2="00000016" w:usb3="00000000" w:csb0="2002009F" w:csb1="00000000"/>
  </w:font>
  <w:font w:name="Liberation Mono">
    <w:panose1 w:val="02070409020205020404"/>
    <w:charset w:val="00"/>
    <w:family w:val="auto"/>
    <w:pitch w:val="default"/>
    <w:sig w:usb0="E0000AFF" w:usb1="400078FF" w:usb2="00000001" w:usb3="00000000" w:csb0="600001BF" w:csb1="DFF70000"/>
    <w:embedRegular r:id="rId16" w:fontKey="{1C987C6E-573A-4C9D-AF13-3309BD565DD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10F0B">
    <w:pPr>
      <w:pBdr>
        <w:top w:val="none" w:color="auto" w:sz="0" w:space="0"/>
        <w:left w:val="none" w:color="auto" w:sz="0" w:space="0"/>
        <w:bottom w:val="none" w:color="auto" w:sz="0" w:space="0"/>
        <w:right w:val="none" w:color="auto" w:sz="0" w:space="0"/>
        <w:between w:val="none" w:color="auto" w:sz="0" w:space="0"/>
      </w:pBdr>
      <w:tabs>
        <w:tab w:val="left" w:pos="2160"/>
        <w:tab w:val="center" w:pos="4252"/>
        <w:tab w:val="right" w:pos="8504"/>
      </w:tabs>
      <w:rPr>
        <w:color w:val="000000"/>
        <w:sz w:val="16"/>
        <w:szCs w:val="16"/>
      </w:rPr>
    </w:pPr>
    <w:r>
      <w:rPr>
        <w:color w:val="000000"/>
      </w:rPr>
      <w:t xml:space="preserve">                  </w:t>
    </w:r>
    <w:r>
      <w:rPr>
        <w:color w:val="000000"/>
        <w:sz w:val="16"/>
        <w:szCs w:val="16"/>
      </w:rPr>
      <w:t xml:space="preserve"> </w:t>
    </w:r>
  </w:p>
  <w:p w14:paraId="2F9B2437">
    <w:pPr>
      <w:pBdr>
        <w:top w:val="none" w:color="auto" w:sz="0" w:space="0"/>
        <w:left w:val="none" w:color="auto" w:sz="0" w:space="0"/>
        <w:bottom w:val="none" w:color="auto" w:sz="0" w:space="0"/>
        <w:right w:val="none" w:color="auto" w:sz="0" w:space="0"/>
        <w:between w:val="none" w:color="auto" w:sz="0" w:space="0"/>
      </w:pBdr>
      <w:tabs>
        <w:tab w:val="left" w:pos="2160"/>
        <w:tab w:val="center" w:pos="4252"/>
        <w:tab w:val="right" w:pos="8504"/>
      </w:tabs>
      <w:ind w:left="-284"/>
      <w:rPr>
        <w:color w:val="000000"/>
        <w:sz w:val="16"/>
        <w:szCs w:val="16"/>
      </w:rPr>
    </w:pPr>
  </w:p>
  <w:p w14:paraId="6DC91856">
    <w:pPr>
      <w:pBdr>
        <w:top w:val="none" w:color="auto" w:sz="0" w:space="0"/>
        <w:left w:val="none" w:color="auto" w:sz="0" w:space="0"/>
        <w:bottom w:val="none" w:color="auto" w:sz="0" w:space="0"/>
        <w:right w:val="none" w:color="auto" w:sz="0" w:space="0"/>
        <w:between w:val="none" w:color="auto" w:sz="0" w:space="0"/>
      </w:pBdr>
      <w:tabs>
        <w:tab w:val="left" w:pos="2160"/>
        <w:tab w:val="left" w:pos="3769"/>
        <w:tab w:val="center" w:pos="4252"/>
        <w:tab w:val="center" w:pos="4393"/>
        <w:tab w:val="right" w:pos="8504"/>
      </w:tabs>
      <w:spacing w:line="240" w:lineRule="auto"/>
      <w:ind w:left="-284"/>
      <w:jc w:val="center"/>
      <w:rPr>
        <w:color w:val="000000"/>
      </w:rPr>
    </w:pPr>
  </w:p>
  <w:p w14:paraId="56B78A96">
    <w:pPr>
      <w:pBdr>
        <w:top w:val="none" w:color="auto" w:sz="0" w:space="0"/>
        <w:left w:val="none" w:color="auto" w:sz="0" w:space="0"/>
        <w:bottom w:val="none" w:color="auto" w:sz="0" w:space="0"/>
        <w:right w:val="none" w:color="auto" w:sz="0" w:space="0"/>
        <w:between w:val="none" w:color="auto" w:sz="0" w:space="0"/>
      </w:pBdr>
      <w:tabs>
        <w:tab w:val="left" w:pos="2160"/>
        <w:tab w:val="left" w:pos="3769"/>
        <w:tab w:val="center" w:pos="4252"/>
        <w:tab w:val="center" w:pos="4393"/>
        <w:tab w:val="right" w:pos="8504"/>
      </w:tabs>
      <w:spacing w:line="240" w:lineRule="auto"/>
      <w:ind w:left="-284"/>
      <w:jc w:val="center"/>
      <w:rPr>
        <w:b/>
        <w:color w:val="000000"/>
      </w:rPr>
    </w:pPr>
    <w:r>
      <w:rPr>
        <w:b/>
        <w:color w:val="000000"/>
      </w:rPr>
      <w:t xml:space="preserve">Página </w:t>
    </w:r>
    <w:r>
      <w:rPr>
        <w:b/>
        <w:color w:val="000000"/>
      </w:rPr>
      <w:fldChar w:fldCharType="begin"/>
    </w:r>
    <w:r>
      <w:rPr>
        <w:b/>
        <w:color w:val="000000"/>
      </w:rPr>
      <w:instrText xml:space="preserve">PAGE</w:instrText>
    </w:r>
    <w:r>
      <w:rPr>
        <w:b/>
        <w:color w:val="000000"/>
      </w:rPr>
      <w:fldChar w:fldCharType="separate"/>
    </w:r>
    <w:r>
      <w:rPr>
        <w:b/>
        <w:color w:val="000000"/>
      </w:rPr>
      <w:t>162</w:t>
    </w:r>
    <w:r>
      <w:rPr>
        <w:b/>
        <w:color w:val="000000"/>
      </w:rPr>
      <w:fldChar w:fldCharType="end"/>
    </w:r>
    <w:r>
      <w:rPr>
        <w:b/>
        <w:color w:val="000000"/>
      </w:rPr>
      <w:t xml:space="preserve"> de </w:t>
    </w:r>
    <w:r>
      <w:rPr>
        <w:b/>
        <w:color w:val="000000"/>
      </w:rPr>
      <w:fldChar w:fldCharType="begin"/>
    </w:r>
    <w:r>
      <w:rPr>
        <w:b/>
        <w:color w:val="000000"/>
      </w:rPr>
      <w:instrText xml:space="preserve">NUMPAGES</w:instrText>
    </w:r>
    <w:r>
      <w:rPr>
        <w:b/>
        <w:color w:val="000000"/>
      </w:rPr>
      <w:fldChar w:fldCharType="separate"/>
    </w:r>
    <w:r>
      <w:rPr>
        <w:b/>
        <w:color w:val="000000"/>
      </w:rPr>
      <w:t>182</w:t>
    </w:r>
    <w:r>
      <w:rPr>
        <w:b/>
        <w:color w:val="000000"/>
      </w:rPr>
      <w:fldChar w:fldCharType="end"/>
    </w:r>
  </w:p>
  <w:p w14:paraId="5A4C7355">
    <w:pPr>
      <w:pBdr>
        <w:top w:val="none" w:color="auto" w:sz="0" w:space="0"/>
        <w:left w:val="none" w:color="auto" w:sz="0" w:space="0"/>
        <w:bottom w:val="none" w:color="auto" w:sz="0" w:space="0"/>
        <w:right w:val="none" w:color="auto" w:sz="0" w:space="0"/>
        <w:between w:val="none" w:color="auto" w:sz="0" w:space="0"/>
      </w:pBdr>
      <w:tabs>
        <w:tab w:val="center" w:pos="4252"/>
        <w:tab w:val="right" w:pos="8504"/>
      </w:tabs>
      <w:spacing w:line="240" w:lineRule="auto"/>
      <w:rPr>
        <w:color w:val="474747"/>
        <w:sz w:val="21"/>
        <w:szCs w:val="21"/>
        <w:highlight w:val="white"/>
      </w:rPr>
    </w:pPr>
  </w:p>
  <w:p w14:paraId="41F171B9">
    <w:pPr>
      <w:pBdr>
        <w:top w:val="none" w:color="auto" w:sz="0" w:space="0"/>
        <w:left w:val="none" w:color="auto" w:sz="0" w:space="0"/>
        <w:bottom w:val="none" w:color="auto" w:sz="0" w:space="0"/>
        <w:right w:val="none" w:color="auto" w:sz="0" w:space="0"/>
        <w:between w:val="none" w:color="auto" w:sz="0" w:space="0"/>
      </w:pBdr>
      <w:tabs>
        <w:tab w:val="center" w:pos="4252"/>
        <w:tab w:val="right" w:pos="8504"/>
      </w:tabs>
      <w:spacing w:line="240" w:lineRule="auto"/>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2D669A">
    <w:pPr>
      <w:pStyle w:val="3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E77CDE">
    <w:pPr>
      <w:pStyle w:val="3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76" w:lineRule="auto"/>
      </w:pPr>
      <w:r>
        <w:separator/>
      </w:r>
    </w:p>
  </w:footnote>
  <w:footnote w:type="continuationSeparator" w:id="1">
    <w:p>
      <w:pPr>
        <w:spacing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12"/>
      <w:tblW w:w="0" w:type="auto"/>
      <w:tblInd w:w="0" w:type="dxa"/>
      <w:tblLayout w:type="fixed"/>
      <w:tblCellMar>
        <w:top w:w="0" w:type="dxa"/>
        <w:left w:w="108" w:type="dxa"/>
        <w:bottom w:w="0" w:type="dxa"/>
        <w:right w:w="108" w:type="dxa"/>
      </w:tblCellMar>
    </w:tblPr>
    <w:tblGrid>
      <w:gridCol w:w="3544"/>
      <w:gridCol w:w="6095"/>
      <w:gridCol w:w="5356"/>
    </w:tblGrid>
    <w:tr w14:paraId="3012F3FE">
      <w:tblPrEx>
        <w:tblCellMar>
          <w:top w:w="0" w:type="dxa"/>
          <w:left w:w="108" w:type="dxa"/>
          <w:bottom w:w="0" w:type="dxa"/>
          <w:right w:w="108" w:type="dxa"/>
        </w:tblCellMar>
      </w:tblPrEx>
      <w:trPr>
        <w:trHeight w:val="1438" w:hRule="atLeast"/>
      </w:trPr>
      <w:tc>
        <w:tcPr>
          <w:tcW w:w="3544" w:type="dxa"/>
          <w:vAlign w:val="center"/>
        </w:tcPr>
        <w:p w14:paraId="41E6E1F3">
          <w:pPr>
            <w:pStyle w:val="31"/>
            <w:tabs>
              <w:tab w:val="left" w:pos="34"/>
              <w:tab w:val="right" w:pos="9360"/>
            </w:tabs>
            <w:rPr>
              <w:b/>
              <w:smallCaps/>
            </w:rPr>
          </w:pPr>
          <w:r>
            <w:rPr>
              <w:rFonts w:ascii="Helvetica" w:hAnsi="Helvetica"/>
              <w:smallCaps/>
            </w:rPr>
            <w:drawing>
              <wp:inline distT="0" distB="0" distL="0" distR="0">
                <wp:extent cx="2113280" cy="561340"/>
                <wp:effectExtent l="0" t="0" r="1270" b="0"/>
                <wp:docPr id="1835877441" name="Imagem 2" descr="Fundo preto com letras brancas&#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877441" name="Imagem 2" descr="Fundo preto com letras brancas&#10;&#10;O conteúdo gerado por IA pode estar incorreto."/>
                        <pic:cNvPicPr>
                          <a:picLocks noChangeAspect="1" noChangeArrowheads="1"/>
                        </pic:cNvPicPr>
                      </pic:nvPicPr>
                      <pic:blipFill>
                        <a:blip r:embed="rId1">
                          <a:extLst>
                            <a:ext uri="{28A0092B-C50C-407E-A947-70E740481C1C}">
                              <a14:useLocalDpi xmlns:a14="http://schemas.microsoft.com/office/drawing/2010/main" val="0"/>
                            </a:ext>
                          </a:extLst>
                        </a:blip>
                        <a:srcRect l="-27" t="-102" r="-27" b="-102"/>
                        <a:stretch>
                          <a:fillRect/>
                        </a:stretch>
                      </pic:blipFill>
                      <pic:spPr>
                        <a:xfrm>
                          <a:off x="0" y="0"/>
                          <a:ext cx="2113280" cy="561340"/>
                        </a:xfrm>
                        <a:prstGeom prst="rect">
                          <a:avLst/>
                        </a:prstGeom>
                        <a:solidFill>
                          <a:srgbClr val="FFFFFF">
                            <a:alpha val="0"/>
                          </a:srgbClr>
                        </a:solidFill>
                        <a:ln>
                          <a:noFill/>
                        </a:ln>
                      </pic:spPr>
                    </pic:pic>
                  </a:graphicData>
                </a:graphic>
              </wp:inline>
            </w:drawing>
          </w:r>
        </w:p>
      </w:tc>
      <w:tc>
        <w:tcPr>
          <w:tcW w:w="6095" w:type="dxa"/>
          <w:vAlign w:val="center"/>
        </w:tcPr>
        <w:p w14:paraId="51770A8E">
          <w:pPr>
            <w:ind w:right="-1178"/>
            <w:jc w:val="both"/>
            <w:rPr>
              <w:sz w:val="20"/>
              <w:szCs w:val="20"/>
            </w:rPr>
          </w:pPr>
          <w:r>
            <w:rPr>
              <w:b/>
              <w:smallCaps/>
              <w:sz w:val="20"/>
              <w:szCs w:val="20"/>
            </w:rPr>
            <w:t xml:space="preserve">     Estado de Mato Grosso</w:t>
          </w:r>
        </w:p>
        <w:p w14:paraId="5EDCDD46">
          <w:pPr>
            <w:ind w:left="500" w:right="-1178" w:hanging="283"/>
            <w:jc w:val="both"/>
            <w:rPr>
              <w:sz w:val="20"/>
              <w:szCs w:val="20"/>
            </w:rPr>
          </w:pPr>
          <w:r>
            <w:rPr>
              <w:b/>
              <w:smallCaps/>
              <w:sz w:val="20"/>
              <w:szCs w:val="20"/>
            </w:rPr>
            <w:t>Município de Rondonópolis</w:t>
          </w:r>
        </w:p>
        <w:p w14:paraId="5A21B1A7">
          <w:pPr>
            <w:ind w:left="500" w:right="-1178" w:hanging="283"/>
            <w:jc w:val="both"/>
            <w:rPr>
              <w:sz w:val="20"/>
              <w:szCs w:val="20"/>
            </w:rPr>
          </w:pPr>
          <w:r>
            <w:rPr>
              <w:b/>
              <w:smallCaps/>
              <w:sz w:val="20"/>
              <w:szCs w:val="20"/>
            </w:rPr>
            <w:t>Secretaria Municipal de Administração, Gestão e Inovação</w:t>
          </w:r>
        </w:p>
        <w:p w14:paraId="59A92ABC">
          <w:pPr>
            <w:ind w:left="500" w:right="-1178" w:hanging="283"/>
            <w:jc w:val="both"/>
            <w:rPr>
              <w:sz w:val="20"/>
              <w:szCs w:val="20"/>
            </w:rPr>
          </w:pPr>
          <w:r>
            <w:rPr>
              <w:b/>
              <w:smallCaps/>
              <w:sz w:val="20"/>
              <w:szCs w:val="20"/>
            </w:rPr>
            <w:t xml:space="preserve">Superintendência de Compras e Licitações (P.E. </w:t>
          </w:r>
          <w:r>
            <w:rPr>
              <w:rFonts w:hint="default"/>
              <w:b/>
              <w:smallCaps/>
              <w:sz w:val="20"/>
              <w:szCs w:val="20"/>
              <w:lang w:val="pt-BR"/>
            </w:rPr>
            <w:t>73</w:t>
          </w:r>
          <w:r>
            <w:rPr>
              <w:b/>
              <w:smallCaps/>
              <w:sz w:val="20"/>
              <w:szCs w:val="20"/>
            </w:rPr>
            <w:t>/2025)</w:t>
          </w:r>
        </w:p>
      </w:tc>
      <w:tc>
        <w:tcPr>
          <w:tcW w:w="5356" w:type="dxa"/>
          <w:vAlign w:val="center"/>
        </w:tcPr>
        <w:p w14:paraId="49D94AAF">
          <w:pPr>
            <w:snapToGrid w:val="0"/>
            <w:rPr>
              <w:color w:val="002060"/>
              <w:sz w:val="20"/>
              <w:szCs w:val="20"/>
            </w:rPr>
          </w:pPr>
        </w:p>
      </w:tc>
    </w:tr>
  </w:tbl>
  <w:p w14:paraId="5822F847">
    <w:pPr>
      <w:pStyle w:val="3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E0D0C2">
    <w:pPr>
      <w:pStyle w:val="3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81662">
    <w:pPr>
      <w:pStyle w:val="3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2"/>
    <w:multiLevelType w:val="multilevel"/>
    <w:tmpl w:val="00000002"/>
    <w:lvl w:ilvl="0" w:tentative="0">
      <w:start w:val="1"/>
      <w:numFmt w:val="decimal"/>
      <w:lvlText w:val="%1."/>
      <w:lvlJc w:val="left"/>
      <w:pPr>
        <w:tabs>
          <w:tab w:val="left" w:pos="0"/>
        </w:tabs>
        <w:ind w:left="405" w:hanging="405"/>
      </w:pPr>
      <w:rPr>
        <w:rFonts w:hint="default" w:cs="Times New Roman"/>
        <w:b/>
      </w:rPr>
    </w:lvl>
    <w:lvl w:ilvl="1" w:tentative="0">
      <w:start w:val="1"/>
      <w:numFmt w:val="decimal"/>
      <w:lvlText w:val="%1.%2."/>
      <w:lvlJc w:val="left"/>
      <w:pPr>
        <w:tabs>
          <w:tab w:val="left" w:pos="0"/>
        </w:tabs>
        <w:ind w:left="405" w:hanging="405"/>
      </w:pPr>
      <w:rPr>
        <w:rFonts w:hint="default" w:cs="Times New Roman"/>
        <w:b/>
      </w:rPr>
    </w:lvl>
    <w:lvl w:ilvl="2" w:tentative="0">
      <w:start w:val="1"/>
      <w:numFmt w:val="decimal"/>
      <w:lvlText w:val="%1.%2.%3."/>
      <w:lvlJc w:val="left"/>
      <w:pPr>
        <w:tabs>
          <w:tab w:val="left" w:pos="0"/>
        </w:tabs>
        <w:ind w:left="720" w:hanging="720"/>
      </w:pPr>
      <w:rPr>
        <w:rFonts w:hint="default" w:cs="Times New Roman"/>
        <w:b/>
      </w:rPr>
    </w:lvl>
    <w:lvl w:ilvl="3" w:tentative="0">
      <w:start w:val="1"/>
      <w:numFmt w:val="decimal"/>
      <w:lvlText w:val="%1.%2.%3.%4."/>
      <w:lvlJc w:val="left"/>
      <w:pPr>
        <w:tabs>
          <w:tab w:val="left" w:pos="0"/>
        </w:tabs>
        <w:ind w:left="720" w:hanging="720"/>
      </w:pPr>
      <w:rPr>
        <w:rFonts w:hint="default" w:cs="Times New Roman"/>
        <w:b/>
      </w:rPr>
    </w:lvl>
    <w:lvl w:ilvl="4" w:tentative="0">
      <w:start w:val="1"/>
      <w:numFmt w:val="decimal"/>
      <w:lvlText w:val="%1.%2.%3.%4.%5."/>
      <w:lvlJc w:val="left"/>
      <w:pPr>
        <w:tabs>
          <w:tab w:val="left" w:pos="0"/>
        </w:tabs>
        <w:ind w:left="1080" w:hanging="1080"/>
      </w:pPr>
      <w:rPr>
        <w:rFonts w:hint="default" w:cs="Times New Roman"/>
        <w:b/>
      </w:rPr>
    </w:lvl>
    <w:lvl w:ilvl="5" w:tentative="0">
      <w:start w:val="1"/>
      <w:numFmt w:val="decimal"/>
      <w:lvlText w:val="%1.%2.%3.%4.%5.%6."/>
      <w:lvlJc w:val="left"/>
      <w:pPr>
        <w:tabs>
          <w:tab w:val="left" w:pos="0"/>
        </w:tabs>
        <w:ind w:left="1080" w:hanging="1080"/>
      </w:pPr>
      <w:rPr>
        <w:rFonts w:hint="default" w:cs="Times New Roman"/>
        <w:b/>
      </w:rPr>
    </w:lvl>
    <w:lvl w:ilvl="6" w:tentative="0">
      <w:start w:val="1"/>
      <w:numFmt w:val="decimal"/>
      <w:lvlText w:val="%1.%2.%3.%4.%5.%6.%7."/>
      <w:lvlJc w:val="left"/>
      <w:pPr>
        <w:tabs>
          <w:tab w:val="left" w:pos="0"/>
        </w:tabs>
        <w:ind w:left="1440" w:hanging="1440"/>
      </w:pPr>
      <w:rPr>
        <w:rFonts w:hint="default" w:cs="Times New Roman"/>
        <w:b/>
      </w:rPr>
    </w:lvl>
    <w:lvl w:ilvl="7" w:tentative="0">
      <w:start w:val="1"/>
      <w:numFmt w:val="decimal"/>
      <w:lvlText w:val="%1.%2.%3.%4.%5.%6.%7.%8."/>
      <w:lvlJc w:val="left"/>
      <w:pPr>
        <w:tabs>
          <w:tab w:val="left" w:pos="0"/>
        </w:tabs>
        <w:ind w:left="1440" w:hanging="1440"/>
      </w:pPr>
      <w:rPr>
        <w:rFonts w:hint="default" w:cs="Times New Roman"/>
        <w:b/>
      </w:rPr>
    </w:lvl>
    <w:lvl w:ilvl="8" w:tentative="0">
      <w:start w:val="1"/>
      <w:numFmt w:val="decimal"/>
      <w:lvlText w:val="%1.%2.%3.%4.%5.%6.%7.%8.%9."/>
      <w:lvlJc w:val="left"/>
      <w:pPr>
        <w:tabs>
          <w:tab w:val="left" w:pos="0"/>
        </w:tabs>
        <w:ind w:left="1800" w:hanging="1800"/>
      </w:pPr>
      <w:rPr>
        <w:rFonts w:hint="default" w:cs="Times New Roman"/>
        <w:b/>
      </w:rPr>
    </w:lvl>
  </w:abstractNum>
  <w:abstractNum w:abstractNumId="1">
    <w:nsid w:val="00000003"/>
    <w:multiLevelType w:val="multilevel"/>
    <w:tmpl w:val="00000003"/>
    <w:lvl w:ilvl="0" w:tentative="0">
      <w:start w:val="1"/>
      <w:numFmt w:val="decimal"/>
      <w:lvlText w:val="%1."/>
      <w:lvlJc w:val="left"/>
      <w:pPr>
        <w:tabs>
          <w:tab w:val="left" w:pos="0"/>
        </w:tabs>
        <w:ind w:left="360" w:hanging="360"/>
      </w:pPr>
      <w:rPr>
        <w:rFonts w:hint="default"/>
      </w:rPr>
    </w:lvl>
    <w:lvl w:ilvl="1" w:tentative="0">
      <w:start w:val="1"/>
      <w:numFmt w:val="decimal"/>
      <w:lvlText w:val="%1.%2."/>
      <w:lvlJc w:val="left"/>
      <w:pPr>
        <w:tabs>
          <w:tab w:val="left" w:pos="0"/>
        </w:tabs>
        <w:ind w:left="360" w:hanging="360"/>
      </w:pPr>
      <w:rPr>
        <w:rFonts w:hint="default" w:ascii="Arial" w:hAnsi="Arial" w:cs="Arial"/>
        <w:b/>
        <w:sz w:val="20"/>
        <w:szCs w:val="20"/>
      </w:rPr>
    </w:lvl>
    <w:lvl w:ilvl="2" w:tentative="0">
      <w:start w:val="1"/>
      <w:numFmt w:val="decimal"/>
      <w:lvlText w:val="%1.%2.%3."/>
      <w:lvlJc w:val="left"/>
      <w:pPr>
        <w:tabs>
          <w:tab w:val="left" w:pos="0"/>
        </w:tabs>
        <w:ind w:left="720" w:hanging="720"/>
      </w:pPr>
      <w:rPr>
        <w:rFonts w:hint="default"/>
      </w:rPr>
    </w:lvl>
    <w:lvl w:ilvl="3" w:tentative="0">
      <w:start w:val="1"/>
      <w:numFmt w:val="decimal"/>
      <w:lvlText w:val="%1.%2.%3.%4."/>
      <w:lvlJc w:val="left"/>
      <w:pPr>
        <w:tabs>
          <w:tab w:val="left" w:pos="0"/>
        </w:tabs>
        <w:ind w:left="720" w:hanging="720"/>
      </w:pPr>
      <w:rPr>
        <w:rFonts w:hint="default"/>
      </w:rPr>
    </w:lvl>
    <w:lvl w:ilvl="4" w:tentative="0">
      <w:start w:val="1"/>
      <w:numFmt w:val="decimal"/>
      <w:lvlText w:val="%1.%2.%3.%4.%5."/>
      <w:lvlJc w:val="left"/>
      <w:pPr>
        <w:tabs>
          <w:tab w:val="left" w:pos="0"/>
        </w:tabs>
        <w:ind w:left="1080" w:hanging="1080"/>
      </w:pPr>
      <w:rPr>
        <w:rFonts w:hint="default"/>
      </w:rPr>
    </w:lvl>
    <w:lvl w:ilvl="5" w:tentative="0">
      <w:start w:val="1"/>
      <w:numFmt w:val="decimal"/>
      <w:lvlText w:val="%1.%2.%3.%4.%5.%6."/>
      <w:lvlJc w:val="left"/>
      <w:pPr>
        <w:tabs>
          <w:tab w:val="left" w:pos="0"/>
        </w:tabs>
        <w:ind w:left="1080" w:hanging="1080"/>
      </w:pPr>
      <w:rPr>
        <w:rFonts w:hint="default"/>
      </w:rPr>
    </w:lvl>
    <w:lvl w:ilvl="6" w:tentative="0">
      <w:start w:val="1"/>
      <w:numFmt w:val="decimal"/>
      <w:lvlText w:val="%1.%2.%3.%4.%5.%6.%7."/>
      <w:lvlJc w:val="left"/>
      <w:pPr>
        <w:tabs>
          <w:tab w:val="left" w:pos="0"/>
        </w:tabs>
        <w:ind w:left="1440" w:hanging="1440"/>
      </w:pPr>
      <w:rPr>
        <w:rFonts w:hint="default"/>
      </w:rPr>
    </w:lvl>
    <w:lvl w:ilvl="7" w:tentative="0">
      <w:start w:val="1"/>
      <w:numFmt w:val="decimal"/>
      <w:lvlText w:val="%1.%2.%3.%4.%5.%6.%7.%8."/>
      <w:lvlJc w:val="left"/>
      <w:pPr>
        <w:tabs>
          <w:tab w:val="left" w:pos="0"/>
        </w:tabs>
        <w:ind w:left="1440" w:hanging="1440"/>
      </w:pPr>
      <w:rPr>
        <w:rFonts w:hint="default"/>
      </w:rPr>
    </w:lvl>
    <w:lvl w:ilvl="8" w:tentative="0">
      <w:start w:val="1"/>
      <w:numFmt w:val="decimal"/>
      <w:lvlText w:val="%1.%2.%3.%4.%5.%6.%7.%8.%9."/>
      <w:lvlJc w:val="left"/>
      <w:pPr>
        <w:tabs>
          <w:tab w:val="left" w:pos="0"/>
        </w:tabs>
        <w:ind w:left="1800" w:hanging="1800"/>
      </w:pPr>
      <w:rPr>
        <w:rFonts w:hint="default"/>
      </w:rPr>
    </w:lvl>
  </w:abstractNum>
  <w:abstractNum w:abstractNumId="2">
    <w:nsid w:val="08C52996"/>
    <w:multiLevelType w:val="multilevel"/>
    <w:tmpl w:val="08C52996"/>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0AF100EA"/>
    <w:multiLevelType w:val="multilevel"/>
    <w:tmpl w:val="0AF100EA"/>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0D3B4736"/>
    <w:multiLevelType w:val="multilevel"/>
    <w:tmpl w:val="0D3B4736"/>
    <w:lvl w:ilvl="0" w:tentative="0">
      <w:start w:val="22"/>
      <w:numFmt w:val="decimal"/>
      <w:lvlText w:val="%1."/>
      <w:lvlJc w:val="left"/>
      <w:pPr>
        <w:ind w:left="600" w:hanging="600"/>
      </w:pPr>
      <w:rPr>
        <w:rFonts w:hint="default"/>
      </w:rPr>
    </w:lvl>
    <w:lvl w:ilvl="1" w:tentative="0">
      <w:start w:val="11"/>
      <w:numFmt w:val="decimal"/>
      <w:lvlText w:val="%1.%2."/>
      <w:lvlJc w:val="left"/>
      <w:pPr>
        <w:ind w:left="720" w:hanging="720"/>
      </w:pPr>
      <w:rPr>
        <w:rFonts w:hint="default"/>
        <w:b/>
        <w:bCs/>
      </w:rPr>
    </w:lvl>
    <w:lvl w:ilvl="2" w:tentative="0">
      <w:start w:val="1"/>
      <w:numFmt w:val="decimal"/>
      <w:lvlText w:val="%1.%2.%3."/>
      <w:lvlJc w:val="left"/>
      <w:pPr>
        <w:ind w:left="720" w:hanging="720"/>
      </w:pPr>
      <w:rPr>
        <w:rFonts w:hint="default"/>
        <w:b/>
        <w:bCs/>
      </w:rPr>
    </w:lvl>
    <w:lvl w:ilvl="3" w:tentative="0">
      <w:start w:val="1"/>
      <w:numFmt w:val="decimal"/>
      <w:lvlText w:val="%1.%2.%3.%4."/>
      <w:lvlJc w:val="left"/>
      <w:pPr>
        <w:ind w:left="1080" w:hanging="1080"/>
      </w:pPr>
      <w:rPr>
        <w:rFonts w:hint="default"/>
        <w:b/>
        <w:bCs/>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5">
    <w:nsid w:val="17C235CB"/>
    <w:multiLevelType w:val="multilevel"/>
    <w:tmpl w:val="17C235CB"/>
    <w:lvl w:ilvl="0" w:tentative="0">
      <w:start w:val="1"/>
      <w:numFmt w:val="bullet"/>
      <w:lvlText w:val="●"/>
      <w:lvlJc w:val="left"/>
      <w:pPr>
        <w:ind w:left="722"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6">
    <w:nsid w:val="1B8448B0"/>
    <w:multiLevelType w:val="multilevel"/>
    <w:tmpl w:val="1B8448B0"/>
    <w:lvl w:ilvl="0" w:tentative="0">
      <w:start w:val="1"/>
      <w:numFmt w:val="bullet"/>
      <w:lvlText w:val="●"/>
      <w:lvlJc w:val="left"/>
      <w:pPr>
        <w:ind w:left="722"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7">
    <w:nsid w:val="1F9C6CE5"/>
    <w:multiLevelType w:val="multilevel"/>
    <w:tmpl w:val="1F9C6CE5"/>
    <w:lvl w:ilvl="0" w:tentative="0">
      <w:start w:val="1"/>
      <w:numFmt w:val="bullet"/>
      <w:lvlText w:val="●"/>
      <w:lvlJc w:val="left"/>
      <w:pPr>
        <w:ind w:left="722"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8">
    <w:nsid w:val="1FF37497"/>
    <w:multiLevelType w:val="multilevel"/>
    <w:tmpl w:val="1FF37497"/>
    <w:lvl w:ilvl="0" w:tentative="0">
      <w:start w:val="22"/>
      <w:numFmt w:val="decimal"/>
      <w:lvlText w:val="%1"/>
      <w:lvlJc w:val="left"/>
      <w:pPr>
        <w:ind w:left="780" w:hanging="780"/>
      </w:pPr>
      <w:rPr>
        <w:rFonts w:hint="default"/>
      </w:rPr>
    </w:lvl>
    <w:lvl w:ilvl="1" w:tentative="0">
      <w:start w:val="5"/>
      <w:numFmt w:val="decimal"/>
      <w:lvlText w:val="%1.%2"/>
      <w:lvlJc w:val="left"/>
      <w:pPr>
        <w:ind w:left="780" w:hanging="780"/>
      </w:pPr>
      <w:rPr>
        <w:rFonts w:hint="default"/>
      </w:rPr>
    </w:lvl>
    <w:lvl w:ilvl="2" w:tentative="0">
      <w:start w:val="2"/>
      <w:numFmt w:val="decimal"/>
      <w:lvlText w:val="%1.%2.%3"/>
      <w:lvlJc w:val="left"/>
      <w:pPr>
        <w:ind w:left="780" w:hanging="780"/>
      </w:pPr>
      <w:rPr>
        <w:rFonts w:hint="default"/>
      </w:rPr>
    </w:lvl>
    <w:lvl w:ilvl="3" w:tentative="0">
      <w:start w:val="1"/>
      <w:numFmt w:val="decimal"/>
      <w:lvlText w:val="%1.%2.%3.%4"/>
      <w:lvlJc w:val="left"/>
      <w:pPr>
        <w:ind w:left="780" w:hanging="780"/>
      </w:pPr>
      <w:rPr>
        <w:rFonts w:hint="default"/>
        <w:b/>
        <w:bCs/>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9">
    <w:nsid w:val="2025570F"/>
    <w:multiLevelType w:val="multilevel"/>
    <w:tmpl w:val="2025570F"/>
    <w:lvl w:ilvl="0" w:tentative="0">
      <w:start w:val="6"/>
      <w:numFmt w:val="decimal"/>
      <w:lvlText w:val="%1"/>
      <w:lvlJc w:val="left"/>
      <w:pPr>
        <w:ind w:left="360" w:hanging="360"/>
      </w:pPr>
      <w:rPr>
        <w:rFonts w:hint="default"/>
      </w:rPr>
    </w:lvl>
    <w:lvl w:ilvl="1" w:tentative="0">
      <w:start w:val="1"/>
      <w:numFmt w:val="decimal"/>
      <w:lvlText w:val="%1.%2"/>
      <w:lvlJc w:val="left"/>
      <w:pPr>
        <w:ind w:left="360" w:hanging="360"/>
      </w:pPr>
      <w:rPr>
        <w:rFonts w:hint="default"/>
        <w:b/>
        <w:bCs/>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10">
    <w:nsid w:val="25DD3E7C"/>
    <w:multiLevelType w:val="multilevel"/>
    <w:tmpl w:val="25DD3E7C"/>
    <w:lvl w:ilvl="0" w:tentative="0">
      <w:start w:val="30"/>
      <w:numFmt w:val="decimal"/>
      <w:lvlText w:val="%1."/>
      <w:lvlJc w:val="left"/>
      <w:pPr>
        <w:ind w:left="480" w:hanging="48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1">
    <w:nsid w:val="282554BD"/>
    <w:multiLevelType w:val="multilevel"/>
    <w:tmpl w:val="282554BD"/>
    <w:lvl w:ilvl="0" w:tentative="0">
      <w:start w:val="1"/>
      <w:numFmt w:val="lowerLetter"/>
      <w:lvlText w:val="%1)"/>
      <w:lvlJc w:val="left"/>
      <w:pPr>
        <w:tabs>
          <w:tab w:val="left" w:pos="720"/>
        </w:tabs>
        <w:ind w:left="720" w:hanging="360"/>
      </w:pPr>
      <w:rPr>
        <w:rFonts w:hint="default"/>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12">
    <w:nsid w:val="2E4B27B8"/>
    <w:multiLevelType w:val="multilevel"/>
    <w:tmpl w:val="2E4B27B8"/>
    <w:lvl w:ilvl="0" w:tentative="0">
      <w:start w:val="7"/>
      <w:numFmt w:val="decimal"/>
      <w:lvlText w:val="%1"/>
      <w:lvlJc w:val="left"/>
      <w:pPr>
        <w:ind w:left="360" w:hanging="360"/>
      </w:pPr>
      <w:rPr>
        <w:rFonts w:hint="default"/>
        <w:b w:val="0"/>
      </w:rPr>
    </w:lvl>
    <w:lvl w:ilvl="1" w:tentative="0">
      <w:start w:val="1"/>
      <w:numFmt w:val="decimal"/>
      <w:lvlText w:val="%1.%2"/>
      <w:lvlJc w:val="left"/>
      <w:pPr>
        <w:ind w:left="360" w:hanging="360"/>
      </w:pPr>
      <w:rPr>
        <w:rFonts w:hint="default"/>
        <w:b/>
        <w:bCs w:val="0"/>
      </w:rPr>
    </w:lvl>
    <w:lvl w:ilvl="2" w:tentative="0">
      <w:start w:val="1"/>
      <w:numFmt w:val="decimal"/>
      <w:lvlText w:val="%1.%2.%3"/>
      <w:lvlJc w:val="left"/>
      <w:pPr>
        <w:ind w:left="720" w:hanging="720"/>
      </w:pPr>
      <w:rPr>
        <w:rFonts w:hint="default"/>
        <w:b/>
        <w:bCs w:val="0"/>
      </w:rPr>
    </w:lvl>
    <w:lvl w:ilvl="3" w:tentative="0">
      <w:start w:val="1"/>
      <w:numFmt w:val="decimal"/>
      <w:lvlText w:val="%1.%2.%3.%4"/>
      <w:lvlJc w:val="left"/>
      <w:pPr>
        <w:ind w:left="720" w:hanging="720"/>
      </w:pPr>
      <w:rPr>
        <w:rFonts w:hint="default"/>
        <w:b/>
        <w:bCs/>
      </w:rPr>
    </w:lvl>
    <w:lvl w:ilvl="4" w:tentative="0">
      <w:start w:val="1"/>
      <w:numFmt w:val="decimal"/>
      <w:lvlText w:val="%1.%2.%3.%4.%5"/>
      <w:lvlJc w:val="left"/>
      <w:pPr>
        <w:ind w:left="1080" w:hanging="1080"/>
      </w:pPr>
      <w:rPr>
        <w:rFonts w:hint="default"/>
        <w:b w:val="0"/>
      </w:rPr>
    </w:lvl>
    <w:lvl w:ilvl="5" w:tentative="0">
      <w:start w:val="1"/>
      <w:numFmt w:val="decimal"/>
      <w:lvlText w:val="%1.%2.%3.%4.%5.%6"/>
      <w:lvlJc w:val="left"/>
      <w:pPr>
        <w:ind w:left="1080" w:hanging="1080"/>
      </w:pPr>
      <w:rPr>
        <w:rFonts w:hint="default"/>
        <w:b w:val="0"/>
      </w:rPr>
    </w:lvl>
    <w:lvl w:ilvl="6" w:tentative="0">
      <w:start w:val="1"/>
      <w:numFmt w:val="decimal"/>
      <w:lvlText w:val="%1.%2.%3.%4.%5.%6.%7"/>
      <w:lvlJc w:val="left"/>
      <w:pPr>
        <w:ind w:left="1440" w:hanging="1440"/>
      </w:pPr>
      <w:rPr>
        <w:rFonts w:hint="default"/>
        <w:b w:val="0"/>
      </w:rPr>
    </w:lvl>
    <w:lvl w:ilvl="7" w:tentative="0">
      <w:start w:val="1"/>
      <w:numFmt w:val="decimal"/>
      <w:lvlText w:val="%1.%2.%3.%4.%5.%6.%7.%8"/>
      <w:lvlJc w:val="left"/>
      <w:pPr>
        <w:ind w:left="1440" w:hanging="1440"/>
      </w:pPr>
      <w:rPr>
        <w:rFonts w:hint="default"/>
        <w:b w:val="0"/>
      </w:rPr>
    </w:lvl>
    <w:lvl w:ilvl="8" w:tentative="0">
      <w:start w:val="1"/>
      <w:numFmt w:val="decimal"/>
      <w:lvlText w:val="%1.%2.%3.%4.%5.%6.%7.%8.%9"/>
      <w:lvlJc w:val="left"/>
      <w:pPr>
        <w:ind w:left="1800" w:hanging="1800"/>
      </w:pPr>
      <w:rPr>
        <w:rFonts w:hint="default"/>
        <w:b w:val="0"/>
      </w:rPr>
    </w:lvl>
  </w:abstractNum>
  <w:abstractNum w:abstractNumId="13">
    <w:nsid w:val="320A7106"/>
    <w:multiLevelType w:val="multilevel"/>
    <w:tmpl w:val="320A7106"/>
    <w:lvl w:ilvl="0" w:tentative="0">
      <w:start w:val="5"/>
      <w:numFmt w:val="decimal"/>
      <w:lvlText w:val="%1"/>
      <w:lvlJc w:val="left"/>
      <w:pPr>
        <w:ind w:left="360" w:hanging="360"/>
      </w:pPr>
      <w:rPr>
        <w:rFonts w:hint="default"/>
      </w:rPr>
    </w:lvl>
    <w:lvl w:ilvl="1" w:tentative="0">
      <w:start w:val="1"/>
      <w:numFmt w:val="decimal"/>
      <w:lvlText w:val="%1.%2"/>
      <w:lvlJc w:val="left"/>
      <w:pPr>
        <w:ind w:left="360" w:hanging="360"/>
      </w:pPr>
      <w:rPr>
        <w:rFonts w:hint="default"/>
        <w:b/>
        <w:bCs/>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14">
    <w:nsid w:val="344276CF"/>
    <w:multiLevelType w:val="multilevel"/>
    <w:tmpl w:val="344276CF"/>
    <w:lvl w:ilvl="0" w:tentative="0">
      <w:start w:val="17"/>
      <w:numFmt w:val="decimal"/>
      <w:lvlText w:val="%1"/>
      <w:lvlJc w:val="left"/>
      <w:pPr>
        <w:ind w:left="420" w:hanging="420"/>
      </w:pPr>
      <w:rPr>
        <w:rFonts w:hint="default"/>
        <w:b/>
      </w:rPr>
    </w:lvl>
    <w:lvl w:ilvl="1" w:tentative="0">
      <w:start w:val="2"/>
      <w:numFmt w:val="decimal"/>
      <w:lvlText w:val="%1.%2"/>
      <w:lvlJc w:val="left"/>
      <w:pPr>
        <w:ind w:left="420" w:hanging="420"/>
      </w:pPr>
      <w:rPr>
        <w:rFonts w:hint="default"/>
        <w:b/>
      </w:rPr>
    </w:lvl>
    <w:lvl w:ilvl="2" w:tentative="0">
      <w:start w:val="1"/>
      <w:numFmt w:val="decimal"/>
      <w:lvlText w:val="%1.%2.%3"/>
      <w:lvlJc w:val="left"/>
      <w:pPr>
        <w:ind w:left="720" w:hanging="720"/>
      </w:pPr>
      <w:rPr>
        <w:rFonts w:hint="default"/>
        <w:b/>
      </w:rPr>
    </w:lvl>
    <w:lvl w:ilvl="3" w:tentative="0">
      <w:start w:val="1"/>
      <w:numFmt w:val="decimal"/>
      <w:lvlText w:val="%1.%2.%3.%4"/>
      <w:lvlJc w:val="left"/>
      <w:pPr>
        <w:ind w:left="720" w:hanging="720"/>
      </w:pPr>
      <w:rPr>
        <w:rFonts w:hint="default"/>
        <w:b/>
      </w:rPr>
    </w:lvl>
    <w:lvl w:ilvl="4" w:tentative="0">
      <w:start w:val="1"/>
      <w:numFmt w:val="decimal"/>
      <w:lvlText w:val="%1.%2.%3.%4.%5"/>
      <w:lvlJc w:val="left"/>
      <w:pPr>
        <w:ind w:left="1080" w:hanging="1080"/>
      </w:pPr>
      <w:rPr>
        <w:rFonts w:hint="default"/>
        <w:b/>
      </w:rPr>
    </w:lvl>
    <w:lvl w:ilvl="5" w:tentative="0">
      <w:start w:val="1"/>
      <w:numFmt w:val="decimal"/>
      <w:lvlText w:val="%1.%2.%3.%4.%5.%6"/>
      <w:lvlJc w:val="left"/>
      <w:pPr>
        <w:ind w:left="1080" w:hanging="1080"/>
      </w:pPr>
      <w:rPr>
        <w:rFonts w:hint="default"/>
        <w:b/>
      </w:rPr>
    </w:lvl>
    <w:lvl w:ilvl="6" w:tentative="0">
      <w:start w:val="1"/>
      <w:numFmt w:val="decimal"/>
      <w:lvlText w:val="%1.%2.%3.%4.%5.%6.%7"/>
      <w:lvlJc w:val="left"/>
      <w:pPr>
        <w:ind w:left="1440" w:hanging="1440"/>
      </w:pPr>
      <w:rPr>
        <w:rFonts w:hint="default"/>
        <w:b/>
      </w:rPr>
    </w:lvl>
    <w:lvl w:ilvl="7" w:tentative="0">
      <w:start w:val="1"/>
      <w:numFmt w:val="decimal"/>
      <w:lvlText w:val="%1.%2.%3.%4.%5.%6.%7.%8"/>
      <w:lvlJc w:val="left"/>
      <w:pPr>
        <w:ind w:left="1440" w:hanging="1440"/>
      </w:pPr>
      <w:rPr>
        <w:rFonts w:hint="default"/>
        <w:b/>
      </w:rPr>
    </w:lvl>
    <w:lvl w:ilvl="8" w:tentative="0">
      <w:start w:val="1"/>
      <w:numFmt w:val="decimal"/>
      <w:lvlText w:val="%1.%2.%3.%4.%5.%6.%7.%8.%9"/>
      <w:lvlJc w:val="left"/>
      <w:pPr>
        <w:ind w:left="1800" w:hanging="1800"/>
      </w:pPr>
      <w:rPr>
        <w:rFonts w:hint="default"/>
        <w:b/>
      </w:rPr>
    </w:lvl>
  </w:abstractNum>
  <w:abstractNum w:abstractNumId="15">
    <w:nsid w:val="36730FE3"/>
    <w:multiLevelType w:val="multilevel"/>
    <w:tmpl w:val="36730FE3"/>
    <w:lvl w:ilvl="0" w:tentative="0">
      <w:start w:val="4"/>
      <w:numFmt w:val="decimal"/>
      <w:lvlText w:val="%1"/>
      <w:lvlJc w:val="left"/>
      <w:pPr>
        <w:ind w:left="360" w:hanging="360"/>
      </w:pPr>
      <w:rPr>
        <w:rFonts w:hint="default" w:cs="Times New Roman"/>
      </w:rPr>
    </w:lvl>
    <w:lvl w:ilvl="1" w:tentative="0">
      <w:start w:val="1"/>
      <w:numFmt w:val="decimal"/>
      <w:lvlText w:val="%1.%2"/>
      <w:lvlJc w:val="left"/>
      <w:pPr>
        <w:ind w:left="360" w:hanging="360"/>
      </w:pPr>
      <w:rPr>
        <w:rFonts w:hint="default" w:cs="Times New Roman"/>
        <w:b/>
        <w:bCs/>
      </w:rPr>
    </w:lvl>
    <w:lvl w:ilvl="2" w:tentative="0">
      <w:start w:val="1"/>
      <w:numFmt w:val="decimal"/>
      <w:lvlText w:val="%1.%2.%3"/>
      <w:lvlJc w:val="left"/>
      <w:pPr>
        <w:ind w:left="720" w:hanging="720"/>
      </w:pPr>
      <w:rPr>
        <w:rFonts w:hint="default" w:cs="Times New Roman"/>
      </w:rPr>
    </w:lvl>
    <w:lvl w:ilvl="3" w:tentative="0">
      <w:start w:val="1"/>
      <w:numFmt w:val="decimal"/>
      <w:lvlText w:val="%1.%2.%3.%4"/>
      <w:lvlJc w:val="left"/>
      <w:pPr>
        <w:ind w:left="720" w:hanging="720"/>
      </w:pPr>
      <w:rPr>
        <w:rFonts w:hint="default" w:cs="Times New Roman"/>
      </w:rPr>
    </w:lvl>
    <w:lvl w:ilvl="4" w:tentative="0">
      <w:start w:val="1"/>
      <w:numFmt w:val="decimal"/>
      <w:lvlText w:val="%1.%2.%3.%4.%5"/>
      <w:lvlJc w:val="left"/>
      <w:pPr>
        <w:ind w:left="1080" w:hanging="1080"/>
      </w:pPr>
      <w:rPr>
        <w:rFonts w:hint="default" w:cs="Times New Roman"/>
      </w:rPr>
    </w:lvl>
    <w:lvl w:ilvl="5" w:tentative="0">
      <w:start w:val="1"/>
      <w:numFmt w:val="decimal"/>
      <w:lvlText w:val="%1.%2.%3.%4.%5.%6"/>
      <w:lvlJc w:val="left"/>
      <w:pPr>
        <w:ind w:left="1080" w:hanging="1080"/>
      </w:pPr>
      <w:rPr>
        <w:rFonts w:hint="default" w:cs="Times New Roman"/>
      </w:rPr>
    </w:lvl>
    <w:lvl w:ilvl="6" w:tentative="0">
      <w:start w:val="1"/>
      <w:numFmt w:val="decimal"/>
      <w:lvlText w:val="%1.%2.%3.%4.%5.%6.%7"/>
      <w:lvlJc w:val="left"/>
      <w:pPr>
        <w:ind w:left="1440" w:hanging="1440"/>
      </w:pPr>
      <w:rPr>
        <w:rFonts w:hint="default" w:cs="Times New Roman"/>
      </w:rPr>
    </w:lvl>
    <w:lvl w:ilvl="7" w:tentative="0">
      <w:start w:val="1"/>
      <w:numFmt w:val="decimal"/>
      <w:lvlText w:val="%1.%2.%3.%4.%5.%6.%7.%8"/>
      <w:lvlJc w:val="left"/>
      <w:pPr>
        <w:ind w:left="1440" w:hanging="1440"/>
      </w:pPr>
      <w:rPr>
        <w:rFonts w:hint="default" w:cs="Times New Roman"/>
      </w:rPr>
    </w:lvl>
    <w:lvl w:ilvl="8" w:tentative="0">
      <w:start w:val="1"/>
      <w:numFmt w:val="decimal"/>
      <w:lvlText w:val="%1.%2.%3.%4.%5.%6.%7.%8.%9"/>
      <w:lvlJc w:val="left"/>
      <w:pPr>
        <w:ind w:left="1800" w:hanging="1800"/>
      </w:pPr>
      <w:rPr>
        <w:rFonts w:hint="default" w:cs="Times New Roman"/>
      </w:rPr>
    </w:lvl>
  </w:abstractNum>
  <w:abstractNum w:abstractNumId="16">
    <w:nsid w:val="3A174651"/>
    <w:multiLevelType w:val="multilevel"/>
    <w:tmpl w:val="3A174651"/>
    <w:lvl w:ilvl="0" w:tentative="0">
      <w:start w:val="17"/>
      <w:numFmt w:val="decimal"/>
      <w:lvlText w:val="%1."/>
      <w:lvlJc w:val="left"/>
      <w:pPr>
        <w:ind w:left="480" w:hanging="480"/>
      </w:pPr>
      <w:rPr>
        <w:rFonts w:hint="default"/>
        <w:b/>
      </w:rPr>
    </w:lvl>
    <w:lvl w:ilvl="1" w:tentative="0">
      <w:start w:val="2"/>
      <w:numFmt w:val="decimal"/>
      <w:lvlText w:val="%1.%2."/>
      <w:lvlJc w:val="left"/>
      <w:pPr>
        <w:ind w:left="720" w:hanging="720"/>
      </w:pPr>
      <w:rPr>
        <w:rFonts w:hint="default"/>
        <w:b/>
      </w:rPr>
    </w:lvl>
    <w:lvl w:ilvl="2" w:tentative="0">
      <w:start w:val="1"/>
      <w:numFmt w:val="decimal"/>
      <w:lvlText w:val="%1.%2.%3."/>
      <w:lvlJc w:val="left"/>
      <w:pPr>
        <w:ind w:left="720" w:hanging="720"/>
      </w:pPr>
      <w:rPr>
        <w:rFonts w:hint="default"/>
        <w:b/>
      </w:rPr>
    </w:lvl>
    <w:lvl w:ilvl="3" w:tentative="0">
      <w:start w:val="1"/>
      <w:numFmt w:val="decimal"/>
      <w:lvlText w:val="%1.%2.%3.%4."/>
      <w:lvlJc w:val="left"/>
      <w:pPr>
        <w:ind w:left="1080" w:hanging="1080"/>
      </w:pPr>
      <w:rPr>
        <w:rFonts w:hint="default"/>
        <w:b/>
      </w:rPr>
    </w:lvl>
    <w:lvl w:ilvl="4" w:tentative="0">
      <w:start w:val="1"/>
      <w:numFmt w:val="decimal"/>
      <w:lvlText w:val="%1.%2.%3.%4.%5."/>
      <w:lvlJc w:val="left"/>
      <w:pPr>
        <w:ind w:left="1080" w:hanging="1080"/>
      </w:pPr>
      <w:rPr>
        <w:rFonts w:hint="default"/>
        <w:b/>
      </w:rPr>
    </w:lvl>
    <w:lvl w:ilvl="5" w:tentative="0">
      <w:start w:val="1"/>
      <w:numFmt w:val="decimal"/>
      <w:lvlText w:val="%1.%2.%3.%4.%5.%6."/>
      <w:lvlJc w:val="left"/>
      <w:pPr>
        <w:ind w:left="1440" w:hanging="1440"/>
      </w:pPr>
      <w:rPr>
        <w:rFonts w:hint="default"/>
        <w:b/>
      </w:rPr>
    </w:lvl>
    <w:lvl w:ilvl="6" w:tentative="0">
      <w:start w:val="1"/>
      <w:numFmt w:val="decimal"/>
      <w:lvlText w:val="%1.%2.%3.%4.%5.%6.%7."/>
      <w:lvlJc w:val="left"/>
      <w:pPr>
        <w:ind w:left="1440" w:hanging="1440"/>
      </w:pPr>
      <w:rPr>
        <w:rFonts w:hint="default"/>
        <w:b/>
      </w:rPr>
    </w:lvl>
    <w:lvl w:ilvl="7" w:tentative="0">
      <w:start w:val="1"/>
      <w:numFmt w:val="decimal"/>
      <w:lvlText w:val="%1.%2.%3.%4.%5.%6.%7.%8."/>
      <w:lvlJc w:val="left"/>
      <w:pPr>
        <w:ind w:left="1800" w:hanging="1800"/>
      </w:pPr>
      <w:rPr>
        <w:rFonts w:hint="default"/>
        <w:b/>
      </w:rPr>
    </w:lvl>
    <w:lvl w:ilvl="8" w:tentative="0">
      <w:start w:val="1"/>
      <w:numFmt w:val="decimal"/>
      <w:lvlText w:val="%1.%2.%3.%4.%5.%6.%7.%8.%9."/>
      <w:lvlJc w:val="left"/>
      <w:pPr>
        <w:ind w:left="1800" w:hanging="1800"/>
      </w:pPr>
      <w:rPr>
        <w:rFonts w:hint="default"/>
        <w:b/>
      </w:rPr>
    </w:lvl>
  </w:abstractNum>
  <w:abstractNum w:abstractNumId="17">
    <w:nsid w:val="3A4C389D"/>
    <w:multiLevelType w:val="multilevel"/>
    <w:tmpl w:val="3A4C389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45AA43AA"/>
    <w:multiLevelType w:val="multilevel"/>
    <w:tmpl w:val="45AA43AA"/>
    <w:lvl w:ilvl="0" w:tentative="0">
      <w:start w:val="1"/>
      <w:numFmt w:val="bullet"/>
      <w:lvlText w:val="●"/>
      <w:lvlJc w:val="left"/>
      <w:pPr>
        <w:ind w:left="644" w:hanging="360"/>
      </w:pPr>
      <w:rPr>
        <w:u w:val="none"/>
      </w:rPr>
    </w:lvl>
    <w:lvl w:ilvl="1" w:tentative="0">
      <w:start w:val="1"/>
      <w:numFmt w:val="bullet"/>
      <w:lvlText w:val="●"/>
      <w:lvlJc w:val="left"/>
      <w:pPr>
        <w:ind w:left="1440" w:hanging="360"/>
      </w:pPr>
      <w:rPr>
        <w:rFonts w:ascii="Noto Sans Symbols" w:hAnsi="Noto Sans Symbols" w:eastAsia="Noto Sans Symbols" w:cs="Noto Sans Symbols"/>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19">
    <w:nsid w:val="473F0C7F"/>
    <w:multiLevelType w:val="multilevel"/>
    <w:tmpl w:val="473F0C7F"/>
    <w:lvl w:ilvl="0" w:tentative="0">
      <w:start w:val="3"/>
      <w:numFmt w:val="decimal"/>
      <w:lvlText w:val="%1"/>
      <w:lvlJc w:val="left"/>
      <w:pPr>
        <w:ind w:left="480" w:hanging="480"/>
      </w:pPr>
      <w:rPr>
        <w:rFonts w:hint="default"/>
      </w:rPr>
    </w:lvl>
    <w:lvl w:ilvl="1" w:tentative="0">
      <w:start w:val="1"/>
      <w:numFmt w:val="decimal"/>
      <w:lvlText w:val="%1.%2"/>
      <w:lvlJc w:val="left"/>
      <w:pPr>
        <w:ind w:left="480" w:hanging="480"/>
      </w:pPr>
      <w:rPr>
        <w:rFonts w:hint="default"/>
      </w:rPr>
    </w:lvl>
    <w:lvl w:ilvl="2" w:tentative="0">
      <w:start w:val="1"/>
      <w:numFmt w:val="decimal"/>
      <w:lvlText w:val="%1.%2.%3"/>
      <w:lvlJc w:val="left"/>
      <w:pPr>
        <w:ind w:left="720" w:hanging="720"/>
      </w:pPr>
      <w:rPr>
        <w:rFonts w:hint="default"/>
        <w:b/>
        <w:bCs/>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20">
    <w:nsid w:val="50691C3A"/>
    <w:multiLevelType w:val="multilevel"/>
    <w:tmpl w:val="50691C3A"/>
    <w:lvl w:ilvl="0" w:tentative="0">
      <w:start w:val="1"/>
      <w:numFmt w:val="bullet"/>
      <w:lvlText w:val="●"/>
      <w:lvlJc w:val="left"/>
      <w:pPr>
        <w:ind w:left="722"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21">
    <w:nsid w:val="54034239"/>
    <w:multiLevelType w:val="multilevel"/>
    <w:tmpl w:val="5403423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54BD1560"/>
    <w:multiLevelType w:val="multilevel"/>
    <w:tmpl w:val="54BD1560"/>
    <w:lvl w:ilvl="0" w:tentative="0">
      <w:start w:val="1"/>
      <w:numFmt w:val="decimal"/>
      <w:pStyle w:val="122"/>
      <w:lvlText w:val="%1."/>
      <w:lvlJc w:val="left"/>
      <w:pPr>
        <w:tabs>
          <w:tab w:val="left" w:pos="720"/>
        </w:tabs>
        <w:ind w:left="720" w:hanging="720"/>
      </w:pPr>
    </w:lvl>
    <w:lvl w:ilvl="1" w:tentative="0">
      <w:start w:val="1"/>
      <w:numFmt w:val="decimal"/>
      <w:lvlText w:val="%2."/>
      <w:lvlJc w:val="left"/>
      <w:pPr>
        <w:tabs>
          <w:tab w:val="left" w:pos="1440"/>
        </w:tabs>
        <w:ind w:left="1440" w:hanging="720"/>
      </w:pPr>
    </w:lvl>
    <w:lvl w:ilvl="2" w:tentative="0">
      <w:start w:val="1"/>
      <w:numFmt w:val="decimal"/>
      <w:pStyle w:val="130"/>
      <w:lvlText w:val="%3."/>
      <w:lvlJc w:val="left"/>
      <w:pPr>
        <w:tabs>
          <w:tab w:val="left" w:pos="2160"/>
        </w:tabs>
        <w:ind w:left="2160" w:hanging="720"/>
      </w:pPr>
    </w:lvl>
    <w:lvl w:ilvl="3" w:tentative="0">
      <w:start w:val="1"/>
      <w:numFmt w:val="decimal"/>
      <w:pStyle w:val="125"/>
      <w:lvlText w:val="%4."/>
      <w:lvlJc w:val="left"/>
      <w:pPr>
        <w:tabs>
          <w:tab w:val="left" w:pos="2880"/>
        </w:tabs>
        <w:ind w:left="2880" w:hanging="720"/>
      </w:pPr>
    </w:lvl>
    <w:lvl w:ilvl="4" w:tentative="0">
      <w:start w:val="1"/>
      <w:numFmt w:val="decimal"/>
      <w:lvlText w:val="%5."/>
      <w:lvlJc w:val="left"/>
      <w:pPr>
        <w:tabs>
          <w:tab w:val="left" w:pos="3600"/>
        </w:tabs>
        <w:ind w:left="3600" w:hanging="720"/>
      </w:pPr>
    </w:lvl>
    <w:lvl w:ilvl="5" w:tentative="0">
      <w:start w:val="1"/>
      <w:numFmt w:val="decimal"/>
      <w:lvlText w:val="%6."/>
      <w:lvlJc w:val="left"/>
      <w:pPr>
        <w:tabs>
          <w:tab w:val="left" w:pos="4320"/>
        </w:tabs>
        <w:ind w:left="4320" w:hanging="720"/>
      </w:pPr>
    </w:lvl>
    <w:lvl w:ilvl="6" w:tentative="0">
      <w:start w:val="1"/>
      <w:numFmt w:val="decimal"/>
      <w:lvlText w:val="%7."/>
      <w:lvlJc w:val="left"/>
      <w:pPr>
        <w:tabs>
          <w:tab w:val="left" w:pos="5040"/>
        </w:tabs>
        <w:ind w:left="5040" w:hanging="720"/>
      </w:pPr>
    </w:lvl>
    <w:lvl w:ilvl="7" w:tentative="0">
      <w:start w:val="1"/>
      <w:numFmt w:val="decimal"/>
      <w:lvlText w:val="%8."/>
      <w:lvlJc w:val="left"/>
      <w:pPr>
        <w:tabs>
          <w:tab w:val="left" w:pos="5760"/>
        </w:tabs>
        <w:ind w:left="5760" w:hanging="720"/>
      </w:pPr>
    </w:lvl>
    <w:lvl w:ilvl="8" w:tentative="0">
      <w:start w:val="1"/>
      <w:numFmt w:val="decimal"/>
      <w:lvlText w:val="%9."/>
      <w:lvlJc w:val="left"/>
      <w:pPr>
        <w:tabs>
          <w:tab w:val="left" w:pos="6480"/>
        </w:tabs>
        <w:ind w:left="6480" w:hanging="720"/>
      </w:pPr>
    </w:lvl>
  </w:abstractNum>
  <w:abstractNum w:abstractNumId="23">
    <w:nsid w:val="554F71BA"/>
    <w:multiLevelType w:val="multilevel"/>
    <w:tmpl w:val="554F71BA"/>
    <w:lvl w:ilvl="0" w:tentative="0">
      <w:start w:val="22"/>
      <w:numFmt w:val="decimal"/>
      <w:lvlText w:val="%1."/>
      <w:lvlJc w:val="left"/>
      <w:pPr>
        <w:ind w:left="480" w:hanging="480"/>
      </w:pPr>
      <w:rPr>
        <w:rFonts w:hint="default"/>
      </w:rPr>
    </w:lvl>
    <w:lvl w:ilvl="1" w:tentative="0">
      <w:start w:val="9"/>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4">
    <w:nsid w:val="5D7F0957"/>
    <w:multiLevelType w:val="multilevel"/>
    <w:tmpl w:val="5D7F0957"/>
    <w:lvl w:ilvl="0" w:tentative="0">
      <w:start w:val="1"/>
      <w:numFmt w:val="bullet"/>
      <w:lvlText w:val="●"/>
      <w:lvlJc w:val="left"/>
      <w:pPr>
        <w:ind w:left="722"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25">
    <w:nsid w:val="5DB52D92"/>
    <w:multiLevelType w:val="multilevel"/>
    <w:tmpl w:val="5DB52D92"/>
    <w:lvl w:ilvl="0" w:tentative="0">
      <w:start w:val="1"/>
      <w:numFmt w:val="bullet"/>
      <w:lvlText w:val="●"/>
      <w:lvlJc w:val="left"/>
      <w:pPr>
        <w:ind w:left="722" w:hanging="360"/>
      </w:pPr>
      <w:rPr>
        <w:rFonts w:ascii="Noto Sans Symbols" w:hAnsi="Noto Sans Symbols" w:eastAsia="Noto Sans Symbols" w:cs="Noto Sans Symbols"/>
      </w:rPr>
    </w:lvl>
    <w:lvl w:ilvl="1" w:tentative="0">
      <w:start w:val="1"/>
      <w:numFmt w:val="bullet"/>
      <w:lvlText w:val="o"/>
      <w:lvlJc w:val="left"/>
      <w:pPr>
        <w:ind w:left="1442" w:hanging="360"/>
      </w:pPr>
      <w:rPr>
        <w:rFonts w:ascii="Courier New" w:hAnsi="Courier New" w:eastAsia="Courier New" w:cs="Courier New"/>
      </w:rPr>
    </w:lvl>
    <w:lvl w:ilvl="2" w:tentative="0">
      <w:start w:val="1"/>
      <w:numFmt w:val="bullet"/>
      <w:lvlText w:val="▪"/>
      <w:lvlJc w:val="left"/>
      <w:pPr>
        <w:ind w:left="2162" w:hanging="360"/>
      </w:pPr>
      <w:rPr>
        <w:rFonts w:ascii="Noto Sans Symbols" w:hAnsi="Noto Sans Symbols" w:eastAsia="Noto Sans Symbols" w:cs="Noto Sans Symbols"/>
      </w:rPr>
    </w:lvl>
    <w:lvl w:ilvl="3" w:tentative="0">
      <w:start w:val="1"/>
      <w:numFmt w:val="bullet"/>
      <w:lvlText w:val="●"/>
      <w:lvlJc w:val="left"/>
      <w:pPr>
        <w:ind w:left="2882" w:hanging="360"/>
      </w:pPr>
      <w:rPr>
        <w:rFonts w:ascii="Noto Sans Symbols" w:hAnsi="Noto Sans Symbols" w:eastAsia="Noto Sans Symbols" w:cs="Noto Sans Symbols"/>
      </w:rPr>
    </w:lvl>
    <w:lvl w:ilvl="4" w:tentative="0">
      <w:start w:val="1"/>
      <w:numFmt w:val="bullet"/>
      <w:lvlText w:val="o"/>
      <w:lvlJc w:val="left"/>
      <w:pPr>
        <w:ind w:left="3602" w:hanging="360"/>
      </w:pPr>
      <w:rPr>
        <w:rFonts w:ascii="Courier New" w:hAnsi="Courier New" w:eastAsia="Courier New" w:cs="Courier New"/>
      </w:rPr>
    </w:lvl>
    <w:lvl w:ilvl="5" w:tentative="0">
      <w:start w:val="1"/>
      <w:numFmt w:val="bullet"/>
      <w:lvlText w:val="▪"/>
      <w:lvlJc w:val="left"/>
      <w:pPr>
        <w:ind w:left="4322" w:hanging="360"/>
      </w:pPr>
      <w:rPr>
        <w:rFonts w:ascii="Noto Sans Symbols" w:hAnsi="Noto Sans Symbols" w:eastAsia="Noto Sans Symbols" w:cs="Noto Sans Symbols"/>
      </w:rPr>
    </w:lvl>
    <w:lvl w:ilvl="6" w:tentative="0">
      <w:start w:val="1"/>
      <w:numFmt w:val="bullet"/>
      <w:lvlText w:val="●"/>
      <w:lvlJc w:val="left"/>
      <w:pPr>
        <w:ind w:left="5042" w:hanging="360"/>
      </w:pPr>
      <w:rPr>
        <w:rFonts w:ascii="Noto Sans Symbols" w:hAnsi="Noto Sans Symbols" w:eastAsia="Noto Sans Symbols" w:cs="Noto Sans Symbols"/>
      </w:rPr>
    </w:lvl>
    <w:lvl w:ilvl="7" w:tentative="0">
      <w:start w:val="1"/>
      <w:numFmt w:val="bullet"/>
      <w:lvlText w:val="o"/>
      <w:lvlJc w:val="left"/>
      <w:pPr>
        <w:ind w:left="5762" w:hanging="360"/>
      </w:pPr>
      <w:rPr>
        <w:rFonts w:ascii="Courier New" w:hAnsi="Courier New" w:eastAsia="Courier New" w:cs="Courier New"/>
      </w:rPr>
    </w:lvl>
    <w:lvl w:ilvl="8" w:tentative="0">
      <w:start w:val="1"/>
      <w:numFmt w:val="bullet"/>
      <w:lvlText w:val="▪"/>
      <w:lvlJc w:val="left"/>
      <w:pPr>
        <w:ind w:left="6482" w:hanging="360"/>
      </w:pPr>
      <w:rPr>
        <w:rFonts w:ascii="Noto Sans Symbols" w:hAnsi="Noto Sans Symbols" w:eastAsia="Noto Sans Symbols" w:cs="Noto Sans Symbols"/>
      </w:rPr>
    </w:lvl>
  </w:abstractNum>
  <w:abstractNum w:abstractNumId="26">
    <w:nsid w:val="606B2B67"/>
    <w:multiLevelType w:val="multilevel"/>
    <w:tmpl w:val="606B2B67"/>
    <w:lvl w:ilvl="0" w:tentative="0">
      <w:start w:val="8"/>
      <w:numFmt w:val="decimal"/>
      <w:lvlText w:val="%1"/>
      <w:lvlJc w:val="left"/>
      <w:pPr>
        <w:ind w:left="360" w:hanging="360"/>
      </w:pPr>
      <w:rPr>
        <w:rFonts w:hint="default"/>
      </w:rPr>
    </w:lvl>
    <w:lvl w:ilvl="1" w:tentative="0">
      <w:start w:val="1"/>
      <w:numFmt w:val="decimal"/>
      <w:lvlText w:val="%1.%2"/>
      <w:lvlJc w:val="left"/>
      <w:pPr>
        <w:ind w:left="360" w:hanging="360"/>
      </w:pPr>
      <w:rPr>
        <w:rFonts w:hint="default"/>
        <w:b/>
        <w:bCs/>
      </w:rPr>
    </w:lvl>
    <w:lvl w:ilvl="2" w:tentative="0">
      <w:start w:val="1"/>
      <w:numFmt w:val="decimal"/>
      <w:lvlText w:val="%1.%2.%3"/>
      <w:lvlJc w:val="left"/>
      <w:pPr>
        <w:ind w:left="720" w:hanging="720"/>
      </w:pPr>
      <w:rPr>
        <w:rFonts w:hint="default"/>
        <w:b/>
        <w:bCs/>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27">
    <w:nsid w:val="693F6FD9"/>
    <w:multiLevelType w:val="multilevel"/>
    <w:tmpl w:val="693F6FD9"/>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6CD16D05"/>
    <w:multiLevelType w:val="multilevel"/>
    <w:tmpl w:val="6CD16D05"/>
    <w:lvl w:ilvl="0" w:tentative="0">
      <w:start w:val="3"/>
      <w:numFmt w:val="decimal"/>
      <w:lvlText w:val="%1"/>
      <w:lvlJc w:val="left"/>
      <w:pPr>
        <w:ind w:left="480" w:hanging="480"/>
      </w:pPr>
      <w:rPr>
        <w:rFonts w:hint="default"/>
      </w:rPr>
    </w:lvl>
    <w:lvl w:ilvl="1" w:tentative="0">
      <w:start w:val="2"/>
      <w:numFmt w:val="decimal"/>
      <w:lvlText w:val="%1.%2"/>
      <w:lvlJc w:val="left"/>
      <w:pPr>
        <w:ind w:left="480" w:hanging="480"/>
      </w:pPr>
      <w:rPr>
        <w:rFonts w:hint="default"/>
        <w:b/>
        <w:bCs/>
      </w:rPr>
    </w:lvl>
    <w:lvl w:ilvl="2" w:tentative="0">
      <w:start w:val="1"/>
      <w:numFmt w:val="decimal"/>
      <w:lvlText w:val="%1.%2.%3"/>
      <w:lvlJc w:val="left"/>
      <w:pPr>
        <w:ind w:left="720" w:hanging="720"/>
      </w:pPr>
      <w:rPr>
        <w:rFonts w:hint="default"/>
        <w:b/>
        <w:bCs/>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abstractNum w:abstractNumId="29">
    <w:nsid w:val="6CE903C5"/>
    <w:multiLevelType w:val="multilevel"/>
    <w:tmpl w:val="6CE903C5"/>
    <w:lvl w:ilvl="0" w:tentative="0">
      <w:start w:val="1"/>
      <w:numFmt w:val="bullet"/>
      <w:lvlText w:val="●"/>
      <w:lvlJc w:val="left"/>
      <w:pPr>
        <w:ind w:left="720" w:hanging="360"/>
      </w:pPr>
      <w:rPr>
        <w:u w:val="none"/>
      </w:rPr>
    </w:lvl>
    <w:lvl w:ilvl="1" w:tentative="0">
      <w:start w:val="1"/>
      <w:numFmt w:val="bullet"/>
      <w:lvlText w:val="●"/>
      <w:lvlJc w:val="left"/>
      <w:pPr>
        <w:ind w:left="1440" w:hanging="360"/>
      </w:pPr>
      <w:rPr>
        <w:rFonts w:ascii="Noto Sans Symbols" w:hAnsi="Noto Sans Symbols" w:eastAsia="Noto Sans Symbols" w:cs="Noto Sans Symbols"/>
      </w:rPr>
    </w:lvl>
    <w:lvl w:ilvl="2" w:tentative="0">
      <w:start w:val="1"/>
      <w:numFmt w:val="bullet"/>
      <w:lvlText w:val="■"/>
      <w:lvlJc w:val="left"/>
      <w:pPr>
        <w:ind w:left="2160" w:hanging="360"/>
      </w:pPr>
      <w:rPr>
        <w:u w:val="none"/>
      </w:rPr>
    </w:lvl>
    <w:lvl w:ilvl="3" w:tentative="0">
      <w:start w:val="1"/>
      <w:numFmt w:val="bullet"/>
      <w:lvlText w:val="●"/>
      <w:lvlJc w:val="left"/>
      <w:pPr>
        <w:ind w:left="2880" w:hanging="360"/>
      </w:pPr>
      <w:rPr>
        <w:u w:val="none"/>
      </w:rPr>
    </w:lvl>
    <w:lvl w:ilvl="4" w:tentative="0">
      <w:start w:val="1"/>
      <w:numFmt w:val="bullet"/>
      <w:lvlText w:val="○"/>
      <w:lvlJc w:val="left"/>
      <w:pPr>
        <w:ind w:left="3600" w:hanging="360"/>
      </w:pPr>
      <w:rPr>
        <w:u w:val="none"/>
      </w:rPr>
    </w:lvl>
    <w:lvl w:ilvl="5" w:tentative="0">
      <w:start w:val="1"/>
      <w:numFmt w:val="bullet"/>
      <w:lvlText w:val="■"/>
      <w:lvlJc w:val="left"/>
      <w:pPr>
        <w:ind w:left="4320" w:hanging="360"/>
      </w:pPr>
      <w:rPr>
        <w:u w:val="none"/>
      </w:rPr>
    </w:lvl>
    <w:lvl w:ilvl="6" w:tentative="0">
      <w:start w:val="1"/>
      <w:numFmt w:val="bullet"/>
      <w:lvlText w:val="●"/>
      <w:lvlJc w:val="left"/>
      <w:pPr>
        <w:ind w:left="5040" w:hanging="360"/>
      </w:pPr>
      <w:rPr>
        <w:u w:val="none"/>
      </w:rPr>
    </w:lvl>
    <w:lvl w:ilvl="7" w:tentative="0">
      <w:start w:val="1"/>
      <w:numFmt w:val="bullet"/>
      <w:lvlText w:val="○"/>
      <w:lvlJc w:val="left"/>
      <w:pPr>
        <w:ind w:left="5760" w:hanging="360"/>
      </w:pPr>
      <w:rPr>
        <w:u w:val="none"/>
      </w:rPr>
    </w:lvl>
    <w:lvl w:ilvl="8" w:tentative="0">
      <w:start w:val="1"/>
      <w:numFmt w:val="bullet"/>
      <w:lvlText w:val="■"/>
      <w:lvlJc w:val="left"/>
      <w:pPr>
        <w:ind w:left="6480" w:hanging="360"/>
      </w:pPr>
      <w:rPr>
        <w:u w:val="none"/>
      </w:rPr>
    </w:lvl>
  </w:abstractNum>
  <w:abstractNum w:abstractNumId="30">
    <w:nsid w:val="6F363790"/>
    <w:multiLevelType w:val="multilevel"/>
    <w:tmpl w:val="6F363790"/>
    <w:lvl w:ilvl="0" w:tentative="0">
      <w:start w:val="1"/>
      <w:numFmt w:val="decimal"/>
      <w:lvlText w:val="%1."/>
      <w:lvlJc w:val="left"/>
      <w:pPr>
        <w:ind w:left="334" w:hanging="221"/>
      </w:pPr>
      <w:rPr>
        <w:rFonts w:hint="default" w:ascii="Arial" w:hAnsi="Arial" w:eastAsia="Times New Roman" w:cs="Arial"/>
        <w:b/>
        <w:bCs/>
        <w:w w:val="99"/>
        <w:sz w:val="20"/>
        <w:szCs w:val="20"/>
      </w:rPr>
    </w:lvl>
    <w:lvl w:ilvl="1" w:tentative="0">
      <w:start w:val="1"/>
      <w:numFmt w:val="decimal"/>
      <w:pStyle w:val="338"/>
      <w:lvlText w:val="%1.%2."/>
      <w:lvlJc w:val="left"/>
      <w:pPr>
        <w:ind w:left="113" w:hanging="526"/>
      </w:pPr>
      <w:rPr>
        <w:rFonts w:hint="default" w:cs="Times New Roman"/>
        <w:b/>
        <w:bCs/>
        <w:color w:val="auto"/>
        <w:spacing w:val="-1"/>
        <w:w w:val="99"/>
        <w:sz w:val="22"/>
        <w:szCs w:val="22"/>
      </w:rPr>
    </w:lvl>
    <w:lvl w:ilvl="2" w:tentative="0">
      <w:start w:val="1"/>
      <w:numFmt w:val="decimal"/>
      <w:lvlText w:val="%1.%2.%3."/>
      <w:lvlJc w:val="left"/>
      <w:pPr>
        <w:ind w:left="113" w:hanging="526"/>
      </w:pPr>
      <w:rPr>
        <w:rFonts w:hint="default" w:ascii="Arial" w:hAnsi="Arial" w:eastAsia="Times New Roman" w:cs="Arial"/>
        <w:b/>
        <w:bCs/>
        <w:spacing w:val="-1"/>
        <w:w w:val="99"/>
        <w:sz w:val="20"/>
        <w:szCs w:val="20"/>
      </w:rPr>
    </w:lvl>
    <w:lvl w:ilvl="3" w:tentative="0">
      <w:start w:val="0"/>
      <w:numFmt w:val="bullet"/>
      <w:lvlText w:val="•"/>
      <w:lvlJc w:val="left"/>
      <w:pPr>
        <w:ind w:left="2572" w:hanging="526"/>
      </w:pPr>
      <w:rPr>
        <w:rFonts w:hint="default"/>
      </w:rPr>
    </w:lvl>
    <w:lvl w:ilvl="4" w:tentative="0">
      <w:start w:val="0"/>
      <w:numFmt w:val="bullet"/>
      <w:lvlText w:val="•"/>
      <w:lvlJc w:val="left"/>
      <w:pPr>
        <w:ind w:left="3688" w:hanging="526"/>
      </w:pPr>
      <w:rPr>
        <w:rFonts w:hint="default"/>
      </w:rPr>
    </w:lvl>
    <w:lvl w:ilvl="5" w:tentative="0">
      <w:start w:val="0"/>
      <w:numFmt w:val="bullet"/>
      <w:lvlText w:val="•"/>
      <w:lvlJc w:val="left"/>
      <w:pPr>
        <w:ind w:left="4804" w:hanging="526"/>
      </w:pPr>
      <w:rPr>
        <w:rFonts w:hint="default"/>
      </w:rPr>
    </w:lvl>
    <w:lvl w:ilvl="6" w:tentative="0">
      <w:start w:val="0"/>
      <w:numFmt w:val="bullet"/>
      <w:lvlText w:val="•"/>
      <w:lvlJc w:val="left"/>
      <w:pPr>
        <w:ind w:left="5920" w:hanging="526"/>
      </w:pPr>
      <w:rPr>
        <w:rFonts w:hint="default"/>
      </w:rPr>
    </w:lvl>
    <w:lvl w:ilvl="7" w:tentative="0">
      <w:start w:val="0"/>
      <w:numFmt w:val="bullet"/>
      <w:lvlText w:val="•"/>
      <w:lvlJc w:val="left"/>
      <w:pPr>
        <w:ind w:left="7036" w:hanging="526"/>
      </w:pPr>
      <w:rPr>
        <w:rFonts w:hint="default"/>
      </w:rPr>
    </w:lvl>
    <w:lvl w:ilvl="8" w:tentative="0">
      <w:start w:val="0"/>
      <w:numFmt w:val="bullet"/>
      <w:lvlText w:val="•"/>
      <w:lvlJc w:val="left"/>
      <w:pPr>
        <w:ind w:left="8152" w:hanging="526"/>
      </w:pPr>
      <w:rPr>
        <w:rFonts w:hint="default"/>
      </w:rPr>
    </w:lvl>
  </w:abstractNum>
  <w:abstractNum w:abstractNumId="31">
    <w:nsid w:val="74605FBA"/>
    <w:multiLevelType w:val="multilevel"/>
    <w:tmpl w:val="74605FB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2">
    <w:nsid w:val="7F4C636D"/>
    <w:multiLevelType w:val="multilevel"/>
    <w:tmpl w:val="7F4C636D"/>
    <w:lvl w:ilvl="0" w:tentative="0">
      <w:start w:val="1"/>
      <w:numFmt w:val="decimal"/>
      <w:lvlText w:val="%1."/>
      <w:lvlJc w:val="left"/>
      <w:pPr>
        <w:ind w:left="360" w:hanging="360"/>
      </w:pPr>
      <w:rPr>
        <w:b/>
        <w:bCs/>
      </w:rPr>
    </w:lvl>
    <w:lvl w:ilvl="1" w:tentative="0">
      <w:start w:val="1"/>
      <w:numFmt w:val="decimal"/>
      <w:lvlText w:val="%1.%2."/>
      <w:lvlJc w:val="left"/>
      <w:pPr>
        <w:ind w:left="792" w:hanging="432"/>
      </w:pPr>
      <w:rPr>
        <w:b/>
        <w:bCs/>
      </w:rPr>
    </w:lvl>
    <w:lvl w:ilvl="2" w:tentative="0">
      <w:start w:val="1"/>
      <w:numFmt w:val="decimal"/>
      <w:lvlText w:val="%1.%2.%3."/>
      <w:lvlJc w:val="left"/>
      <w:pPr>
        <w:ind w:left="1224" w:hanging="504"/>
      </w:pPr>
      <w:rPr>
        <w:b/>
        <w:bCs/>
      </w:rPr>
    </w:lvl>
    <w:lvl w:ilvl="3" w:tentative="0">
      <w:start w:val="1"/>
      <w:numFmt w:val="decimal"/>
      <w:lvlText w:val="%1.%2.%3.%4."/>
      <w:lvlJc w:val="left"/>
      <w:pPr>
        <w:ind w:left="1728" w:hanging="648"/>
      </w:pPr>
      <w:rPr>
        <w:b/>
        <w:bCs/>
      </w:r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num w:numId="1">
    <w:abstractNumId w:val="22"/>
  </w:num>
  <w:num w:numId="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0"/>
  </w:num>
  <w:num w:numId="4">
    <w:abstractNumId w:val="1"/>
  </w:num>
  <w:num w:numId="5">
    <w:abstractNumId w:val="0"/>
  </w:num>
  <w:num w:numId="6">
    <w:abstractNumId w:val="32"/>
  </w:num>
  <w:num w:numId="7">
    <w:abstractNumId w:val="19"/>
  </w:num>
  <w:num w:numId="8">
    <w:abstractNumId w:val="17"/>
  </w:num>
  <w:num w:numId="9">
    <w:abstractNumId w:val="28"/>
  </w:num>
  <w:num w:numId="10">
    <w:abstractNumId w:val="15"/>
  </w:num>
  <w:num w:numId="11">
    <w:abstractNumId w:val="13"/>
  </w:num>
  <w:num w:numId="12">
    <w:abstractNumId w:val="9"/>
  </w:num>
  <w:num w:numId="13">
    <w:abstractNumId w:val="12"/>
  </w:num>
  <w:num w:numId="14">
    <w:abstractNumId w:val="21"/>
  </w:num>
  <w:num w:numId="15">
    <w:abstractNumId w:val="26"/>
  </w:num>
  <w:num w:numId="16">
    <w:abstractNumId w:val="7"/>
  </w:num>
  <w:num w:numId="17">
    <w:abstractNumId w:val="5"/>
  </w:num>
  <w:num w:numId="18">
    <w:abstractNumId w:val="24"/>
  </w:num>
  <w:num w:numId="19">
    <w:abstractNumId w:val="20"/>
  </w:num>
  <w:num w:numId="20">
    <w:abstractNumId w:val="6"/>
  </w:num>
  <w:num w:numId="21">
    <w:abstractNumId w:val="25"/>
  </w:num>
  <w:num w:numId="22">
    <w:abstractNumId w:val="14"/>
  </w:num>
  <w:num w:numId="23">
    <w:abstractNumId w:val="16"/>
  </w:num>
  <w:num w:numId="24">
    <w:abstractNumId w:val="23"/>
  </w:num>
  <w:num w:numId="25">
    <w:abstractNumId w:val="4"/>
  </w:num>
  <w:num w:numId="26">
    <w:abstractNumId w:val="27"/>
  </w:num>
  <w:num w:numId="27">
    <w:abstractNumId w:val="11"/>
  </w:num>
  <w:num w:numId="28">
    <w:abstractNumId w:val="2"/>
  </w:num>
  <w:num w:numId="29">
    <w:abstractNumId w:val="8"/>
  </w:num>
  <w:num w:numId="30">
    <w:abstractNumId w:val="3"/>
  </w:num>
  <w:num w:numId="31">
    <w:abstractNumId w:val="31"/>
  </w:num>
  <w:num w:numId="32">
    <w:abstractNumId w:val="10"/>
  </w:num>
  <w:num w:numId="33">
    <w:abstractNumId w:val="18"/>
  </w:num>
  <w:num w:numId="34">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removePersonalInformation/>
  <w:embedTrueTypeFonts/>
  <w:documentProtection w:enforcement="0"/>
  <w:defaultTabStop w:val="720"/>
  <w:hyphenationZone w:val="425"/>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1AD1"/>
    <w:rsid w:val="0000334B"/>
    <w:rsid w:val="000065F5"/>
    <w:rsid w:val="00016E34"/>
    <w:rsid w:val="00042163"/>
    <w:rsid w:val="00073F9C"/>
    <w:rsid w:val="000847C2"/>
    <w:rsid w:val="000939C4"/>
    <w:rsid w:val="000A2971"/>
    <w:rsid w:val="000C74FF"/>
    <w:rsid w:val="000D343E"/>
    <w:rsid w:val="000F29AB"/>
    <w:rsid w:val="000F29E6"/>
    <w:rsid w:val="00106839"/>
    <w:rsid w:val="00115E7E"/>
    <w:rsid w:val="0015389B"/>
    <w:rsid w:val="00170C00"/>
    <w:rsid w:val="00177286"/>
    <w:rsid w:val="00181EC7"/>
    <w:rsid w:val="00193212"/>
    <w:rsid w:val="00194066"/>
    <w:rsid w:val="001A72F1"/>
    <w:rsid w:val="001C5DEE"/>
    <w:rsid w:val="001D3FBD"/>
    <w:rsid w:val="001E2F64"/>
    <w:rsid w:val="001F1E16"/>
    <w:rsid w:val="001F4048"/>
    <w:rsid w:val="0020496E"/>
    <w:rsid w:val="00211FD4"/>
    <w:rsid w:val="00213DE1"/>
    <w:rsid w:val="00221E17"/>
    <w:rsid w:val="00246E1A"/>
    <w:rsid w:val="00247F6A"/>
    <w:rsid w:val="00252569"/>
    <w:rsid w:val="002615B2"/>
    <w:rsid w:val="00275AC9"/>
    <w:rsid w:val="00282F85"/>
    <w:rsid w:val="00284E1B"/>
    <w:rsid w:val="00294809"/>
    <w:rsid w:val="002954E9"/>
    <w:rsid w:val="002969DB"/>
    <w:rsid w:val="00297804"/>
    <w:rsid w:val="002B2E8B"/>
    <w:rsid w:val="002B532F"/>
    <w:rsid w:val="002B6AE9"/>
    <w:rsid w:val="002C31E3"/>
    <w:rsid w:val="002D2D37"/>
    <w:rsid w:val="002D4FEF"/>
    <w:rsid w:val="002F1CD7"/>
    <w:rsid w:val="003075A6"/>
    <w:rsid w:val="00311295"/>
    <w:rsid w:val="00313103"/>
    <w:rsid w:val="0031510A"/>
    <w:rsid w:val="0032124E"/>
    <w:rsid w:val="00325740"/>
    <w:rsid w:val="00327FA1"/>
    <w:rsid w:val="003349B6"/>
    <w:rsid w:val="00346CF6"/>
    <w:rsid w:val="0034749F"/>
    <w:rsid w:val="00360B4D"/>
    <w:rsid w:val="00362124"/>
    <w:rsid w:val="003715E3"/>
    <w:rsid w:val="0037666E"/>
    <w:rsid w:val="003770C8"/>
    <w:rsid w:val="00384E98"/>
    <w:rsid w:val="003B08BD"/>
    <w:rsid w:val="003B62B2"/>
    <w:rsid w:val="003C55AC"/>
    <w:rsid w:val="003C7324"/>
    <w:rsid w:val="003D498E"/>
    <w:rsid w:val="003F31CB"/>
    <w:rsid w:val="003F7AAB"/>
    <w:rsid w:val="00407C06"/>
    <w:rsid w:val="0041404F"/>
    <w:rsid w:val="00434C8E"/>
    <w:rsid w:val="00437F7D"/>
    <w:rsid w:val="004414BB"/>
    <w:rsid w:val="004434F7"/>
    <w:rsid w:val="00443F8D"/>
    <w:rsid w:val="0046204C"/>
    <w:rsid w:val="004634FA"/>
    <w:rsid w:val="00471304"/>
    <w:rsid w:val="00473ED4"/>
    <w:rsid w:val="00475B05"/>
    <w:rsid w:val="00477790"/>
    <w:rsid w:val="004914BA"/>
    <w:rsid w:val="00492C6A"/>
    <w:rsid w:val="004963A5"/>
    <w:rsid w:val="004972D4"/>
    <w:rsid w:val="004B708B"/>
    <w:rsid w:val="004C4CFF"/>
    <w:rsid w:val="004E6985"/>
    <w:rsid w:val="004F7620"/>
    <w:rsid w:val="00500C01"/>
    <w:rsid w:val="005276BC"/>
    <w:rsid w:val="00530C6C"/>
    <w:rsid w:val="005634F7"/>
    <w:rsid w:val="00582847"/>
    <w:rsid w:val="00595253"/>
    <w:rsid w:val="005B6A89"/>
    <w:rsid w:val="005B705F"/>
    <w:rsid w:val="005D0B40"/>
    <w:rsid w:val="005E6D31"/>
    <w:rsid w:val="005F16E7"/>
    <w:rsid w:val="00610DC9"/>
    <w:rsid w:val="00612229"/>
    <w:rsid w:val="00613D97"/>
    <w:rsid w:val="00624842"/>
    <w:rsid w:val="00637248"/>
    <w:rsid w:val="00643B16"/>
    <w:rsid w:val="006544F9"/>
    <w:rsid w:val="006574D0"/>
    <w:rsid w:val="006670CD"/>
    <w:rsid w:val="00673082"/>
    <w:rsid w:val="00675A17"/>
    <w:rsid w:val="00676025"/>
    <w:rsid w:val="006A35BB"/>
    <w:rsid w:val="006A6B26"/>
    <w:rsid w:val="006C38D8"/>
    <w:rsid w:val="006D1A5D"/>
    <w:rsid w:val="006D7BCF"/>
    <w:rsid w:val="006F0AD1"/>
    <w:rsid w:val="006F31D8"/>
    <w:rsid w:val="00700ACC"/>
    <w:rsid w:val="007117CE"/>
    <w:rsid w:val="00717275"/>
    <w:rsid w:val="00720FEC"/>
    <w:rsid w:val="00726649"/>
    <w:rsid w:val="007410B7"/>
    <w:rsid w:val="00745952"/>
    <w:rsid w:val="007460D6"/>
    <w:rsid w:val="0076329E"/>
    <w:rsid w:val="007A639D"/>
    <w:rsid w:val="007C5C04"/>
    <w:rsid w:val="007D0E74"/>
    <w:rsid w:val="007D12AA"/>
    <w:rsid w:val="008028D0"/>
    <w:rsid w:val="008174EE"/>
    <w:rsid w:val="00823779"/>
    <w:rsid w:val="00853080"/>
    <w:rsid w:val="00854208"/>
    <w:rsid w:val="008714B1"/>
    <w:rsid w:val="00887CE0"/>
    <w:rsid w:val="008923E3"/>
    <w:rsid w:val="00893BEA"/>
    <w:rsid w:val="008A3289"/>
    <w:rsid w:val="008C1CAA"/>
    <w:rsid w:val="008C3C4D"/>
    <w:rsid w:val="008E0B94"/>
    <w:rsid w:val="008E6F0F"/>
    <w:rsid w:val="00907990"/>
    <w:rsid w:val="009201F1"/>
    <w:rsid w:val="009314E0"/>
    <w:rsid w:val="00940640"/>
    <w:rsid w:val="00946355"/>
    <w:rsid w:val="009465AB"/>
    <w:rsid w:val="009568D0"/>
    <w:rsid w:val="00990B4B"/>
    <w:rsid w:val="00997F1D"/>
    <w:rsid w:val="009A0D6B"/>
    <w:rsid w:val="009A378D"/>
    <w:rsid w:val="009C12B6"/>
    <w:rsid w:val="00A12114"/>
    <w:rsid w:val="00A24885"/>
    <w:rsid w:val="00A43F36"/>
    <w:rsid w:val="00A70C5A"/>
    <w:rsid w:val="00A75CA6"/>
    <w:rsid w:val="00A90474"/>
    <w:rsid w:val="00AA3A9D"/>
    <w:rsid w:val="00AA7AC0"/>
    <w:rsid w:val="00AC1845"/>
    <w:rsid w:val="00AC1AD1"/>
    <w:rsid w:val="00AC6EA5"/>
    <w:rsid w:val="00AD08D7"/>
    <w:rsid w:val="00AD2A36"/>
    <w:rsid w:val="00AD4B8E"/>
    <w:rsid w:val="00AE1AB0"/>
    <w:rsid w:val="00AE53D2"/>
    <w:rsid w:val="00AF0461"/>
    <w:rsid w:val="00AF1B5A"/>
    <w:rsid w:val="00AF741D"/>
    <w:rsid w:val="00B03909"/>
    <w:rsid w:val="00B11F30"/>
    <w:rsid w:val="00B11F8F"/>
    <w:rsid w:val="00B12D58"/>
    <w:rsid w:val="00B20679"/>
    <w:rsid w:val="00B23E7D"/>
    <w:rsid w:val="00B44EC7"/>
    <w:rsid w:val="00B47A52"/>
    <w:rsid w:val="00B532DE"/>
    <w:rsid w:val="00B5700F"/>
    <w:rsid w:val="00B57937"/>
    <w:rsid w:val="00B63873"/>
    <w:rsid w:val="00B72FE4"/>
    <w:rsid w:val="00B74298"/>
    <w:rsid w:val="00B75C2F"/>
    <w:rsid w:val="00B950A6"/>
    <w:rsid w:val="00B96718"/>
    <w:rsid w:val="00BB0BD5"/>
    <w:rsid w:val="00BC4A18"/>
    <w:rsid w:val="00BC4C70"/>
    <w:rsid w:val="00BE080A"/>
    <w:rsid w:val="00BE2829"/>
    <w:rsid w:val="00C06F69"/>
    <w:rsid w:val="00C106E2"/>
    <w:rsid w:val="00C2731E"/>
    <w:rsid w:val="00C31758"/>
    <w:rsid w:val="00C35E35"/>
    <w:rsid w:val="00C73008"/>
    <w:rsid w:val="00CA2F43"/>
    <w:rsid w:val="00CB0822"/>
    <w:rsid w:val="00CC34EE"/>
    <w:rsid w:val="00CD6FAD"/>
    <w:rsid w:val="00D02C4F"/>
    <w:rsid w:val="00D31B6F"/>
    <w:rsid w:val="00D34E3B"/>
    <w:rsid w:val="00D46A73"/>
    <w:rsid w:val="00D5337C"/>
    <w:rsid w:val="00D72F5A"/>
    <w:rsid w:val="00D745AE"/>
    <w:rsid w:val="00D77712"/>
    <w:rsid w:val="00D95A31"/>
    <w:rsid w:val="00DA60D4"/>
    <w:rsid w:val="00DB2C89"/>
    <w:rsid w:val="00DB4EDA"/>
    <w:rsid w:val="00DD3B94"/>
    <w:rsid w:val="00DF17C7"/>
    <w:rsid w:val="00E01022"/>
    <w:rsid w:val="00E1706C"/>
    <w:rsid w:val="00E203E3"/>
    <w:rsid w:val="00E23CE0"/>
    <w:rsid w:val="00E25E8E"/>
    <w:rsid w:val="00E25F7A"/>
    <w:rsid w:val="00E3675C"/>
    <w:rsid w:val="00E5596D"/>
    <w:rsid w:val="00E70EEE"/>
    <w:rsid w:val="00E75415"/>
    <w:rsid w:val="00E8119C"/>
    <w:rsid w:val="00E8796E"/>
    <w:rsid w:val="00E95758"/>
    <w:rsid w:val="00EA12AC"/>
    <w:rsid w:val="00EC22CA"/>
    <w:rsid w:val="00ED5EEA"/>
    <w:rsid w:val="00EF3CF5"/>
    <w:rsid w:val="00EF4F40"/>
    <w:rsid w:val="00F03B52"/>
    <w:rsid w:val="00F30C62"/>
    <w:rsid w:val="00F720B8"/>
    <w:rsid w:val="00F854AB"/>
    <w:rsid w:val="00F95222"/>
    <w:rsid w:val="00F967B5"/>
    <w:rsid w:val="00F96EB8"/>
    <w:rsid w:val="00FB7713"/>
    <w:rsid w:val="00FD426C"/>
    <w:rsid w:val="00FF1058"/>
    <w:rsid w:val="1B9E1621"/>
    <w:rsid w:val="2B31591E"/>
    <w:rsid w:val="2F354440"/>
    <w:rsid w:val="6E81202C"/>
  </w:rsids>
  <m:mathPr>
    <m:mathFont m:val="Cambria Math"/>
    <m:brkBin m:val="before"/>
    <m:brkBinSub m:val="--"/>
    <m:smallFrac m:val="0"/>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99" w:semiHidden="0" w:name="page number"/>
    <w:lsdException w:qFormat="1" w:uiPriority="99" w:name="endnote reference"/>
    <w:lsdException w:qFormat="1" w:uiPriority="0" w:semiHidden="0"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qFormat="1"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qFormat="1"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nhideWhenUsed="0" w:uiPriority="0" w:semiHidden="0"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1" w:semiHidden="0" w:name="No Spacing"/>
    <w:lsdException w:qFormat="1" w:unhideWhenUsed="0" w:uiPriority="34" w:semiHidden="0" w:name="List Paragraph"/>
    <w:lsdException w:qFormat="1" w:unhideWhenUsed="0" w:uiPriority="29" w:semiHidden="0" w:name="Quote"/>
    <w:lsdException w:qFormat="1" w:unhideWhenUsed="0" w:uiPriority="30" w:semiHidden="0" w:name="Intense Quote"/>
  </w:latentStyles>
  <w:style w:type="paragraph" w:default="1" w:styleId="1">
    <w:name w:val="Normal"/>
    <w:qFormat/>
    <w:uiPriority w:val="0"/>
    <w:pPr>
      <w:spacing w:line="276" w:lineRule="auto"/>
    </w:pPr>
    <w:rPr>
      <w:rFonts w:ascii="Arial" w:hAnsi="Arial" w:eastAsia="Arial" w:cs="Arial"/>
      <w:sz w:val="22"/>
      <w:szCs w:val="22"/>
      <w:lang w:val="pt-BR" w:eastAsia="pt-BR" w:bidi="ar-SA"/>
    </w:rPr>
  </w:style>
  <w:style w:type="paragraph" w:styleId="2">
    <w:name w:val="heading 1"/>
    <w:basedOn w:val="1"/>
    <w:next w:val="1"/>
    <w:qFormat/>
    <w:uiPriority w:val="9"/>
    <w:pPr>
      <w:keepNext/>
      <w:keepLines/>
      <w:spacing w:before="360" w:after="80" w:line="278" w:lineRule="auto"/>
      <w:outlineLvl w:val="0"/>
    </w:pPr>
    <w:rPr>
      <w:rFonts w:ascii="Play" w:hAnsi="Play" w:eastAsia="Play" w:cs="Play"/>
      <w:color w:val="0F4761"/>
      <w:sz w:val="40"/>
      <w:szCs w:val="40"/>
    </w:rPr>
  </w:style>
  <w:style w:type="paragraph" w:styleId="3">
    <w:name w:val="heading 2"/>
    <w:basedOn w:val="1"/>
    <w:next w:val="1"/>
    <w:unhideWhenUsed/>
    <w:qFormat/>
    <w:uiPriority w:val="9"/>
    <w:pPr>
      <w:keepNext/>
      <w:keepLines/>
      <w:spacing w:before="160" w:after="80" w:line="278" w:lineRule="auto"/>
      <w:outlineLvl w:val="1"/>
    </w:pPr>
    <w:rPr>
      <w:rFonts w:ascii="Play" w:hAnsi="Play" w:eastAsia="Play" w:cs="Play"/>
      <w:color w:val="0F4761"/>
      <w:sz w:val="32"/>
      <w:szCs w:val="32"/>
    </w:rPr>
  </w:style>
  <w:style w:type="paragraph" w:styleId="4">
    <w:name w:val="heading 3"/>
    <w:basedOn w:val="1"/>
    <w:next w:val="1"/>
    <w:unhideWhenUsed/>
    <w:qFormat/>
    <w:uiPriority w:val="9"/>
    <w:pPr>
      <w:keepNext/>
      <w:keepLines/>
      <w:spacing w:before="160" w:after="80" w:line="278" w:lineRule="auto"/>
      <w:outlineLvl w:val="2"/>
    </w:pPr>
    <w:rPr>
      <w:rFonts w:ascii="Aptos" w:hAnsi="Aptos" w:eastAsia="Aptos" w:cs="Aptos"/>
      <w:color w:val="0F4761"/>
      <w:sz w:val="28"/>
      <w:szCs w:val="28"/>
    </w:rPr>
  </w:style>
  <w:style w:type="paragraph" w:styleId="5">
    <w:name w:val="heading 4"/>
    <w:basedOn w:val="1"/>
    <w:next w:val="1"/>
    <w:unhideWhenUsed/>
    <w:qFormat/>
    <w:uiPriority w:val="9"/>
    <w:pPr>
      <w:keepNext/>
      <w:keepLines/>
      <w:spacing w:before="80" w:after="40" w:line="278" w:lineRule="auto"/>
      <w:outlineLvl w:val="3"/>
    </w:pPr>
    <w:rPr>
      <w:rFonts w:ascii="Aptos" w:hAnsi="Aptos" w:eastAsia="Aptos" w:cs="Aptos"/>
      <w:i/>
      <w:color w:val="0F4761"/>
      <w:sz w:val="24"/>
      <w:szCs w:val="24"/>
    </w:rPr>
  </w:style>
  <w:style w:type="paragraph" w:styleId="6">
    <w:name w:val="heading 5"/>
    <w:basedOn w:val="1"/>
    <w:next w:val="1"/>
    <w:unhideWhenUsed/>
    <w:qFormat/>
    <w:uiPriority w:val="9"/>
    <w:pPr>
      <w:keepNext/>
      <w:keepLines/>
      <w:spacing w:before="80" w:after="40" w:line="278" w:lineRule="auto"/>
      <w:outlineLvl w:val="4"/>
    </w:pPr>
    <w:rPr>
      <w:rFonts w:ascii="Aptos" w:hAnsi="Aptos" w:eastAsia="Aptos" w:cs="Aptos"/>
      <w:color w:val="0F4761"/>
      <w:sz w:val="24"/>
      <w:szCs w:val="24"/>
    </w:rPr>
  </w:style>
  <w:style w:type="paragraph" w:styleId="7">
    <w:name w:val="heading 6"/>
    <w:basedOn w:val="1"/>
    <w:next w:val="1"/>
    <w:semiHidden/>
    <w:unhideWhenUsed/>
    <w:qFormat/>
    <w:uiPriority w:val="9"/>
    <w:pPr>
      <w:keepNext/>
      <w:keepLines/>
      <w:spacing w:before="40" w:line="278" w:lineRule="auto"/>
      <w:outlineLvl w:val="5"/>
    </w:pPr>
    <w:rPr>
      <w:rFonts w:ascii="Aptos" w:hAnsi="Aptos" w:eastAsia="Aptos" w:cs="Aptos"/>
      <w:i/>
      <w:color w:val="595959"/>
      <w:sz w:val="24"/>
      <w:szCs w:val="24"/>
    </w:rPr>
  </w:style>
  <w:style w:type="paragraph" w:styleId="8">
    <w:name w:val="heading 7"/>
    <w:basedOn w:val="1"/>
    <w:next w:val="1"/>
    <w:link w:val="95"/>
    <w:semiHidden/>
    <w:unhideWhenUsed/>
    <w:qFormat/>
    <w:uiPriority w:val="9"/>
    <w:pPr>
      <w:keepNext/>
      <w:keepLines/>
      <w:spacing w:before="40" w:line="278" w:lineRule="auto"/>
      <w:outlineLvl w:val="6"/>
    </w:pPr>
    <w:rPr>
      <w:rFonts w:asciiTheme="minorHAnsi" w:hAnsiTheme="minorHAnsi" w:eastAsiaTheme="majorEastAsia" w:cstheme="majorBidi"/>
      <w:color w:val="595959" w:themeColor="text1" w:themeTint="A6"/>
      <w:kern w:val="2"/>
      <w:sz w:val="24"/>
      <w:szCs w:val="24"/>
      <w:lang w:eastAsia="en-US"/>
      <w14:textFill>
        <w14:solidFill>
          <w14:schemeClr w14:val="tx1">
            <w14:lumMod w14:val="65000"/>
            <w14:lumOff w14:val="35000"/>
          </w14:schemeClr>
        </w14:solidFill>
      </w14:textFill>
    </w:rPr>
  </w:style>
  <w:style w:type="paragraph" w:styleId="9">
    <w:name w:val="heading 8"/>
    <w:basedOn w:val="1"/>
    <w:next w:val="1"/>
    <w:link w:val="96"/>
    <w:semiHidden/>
    <w:unhideWhenUsed/>
    <w:qFormat/>
    <w:uiPriority w:val="9"/>
    <w:pPr>
      <w:keepNext/>
      <w:keepLines/>
      <w:spacing w:line="278" w:lineRule="auto"/>
      <w:outlineLvl w:val="7"/>
    </w:pPr>
    <w:rPr>
      <w:rFonts w:asciiTheme="minorHAnsi" w:hAnsiTheme="minorHAnsi" w:eastAsiaTheme="majorEastAsia" w:cstheme="majorBidi"/>
      <w:i/>
      <w:iCs/>
      <w:color w:val="262626" w:themeColor="text1" w:themeTint="D9"/>
      <w:kern w:val="2"/>
      <w:sz w:val="24"/>
      <w:szCs w:val="24"/>
      <w:lang w:eastAsia="en-US"/>
      <w14:textFill>
        <w14:solidFill>
          <w14:schemeClr w14:val="tx1">
            <w14:lumMod w14:val="85000"/>
            <w14:lumOff w14:val="15000"/>
          </w14:schemeClr>
        </w14:solidFill>
      </w14:textFill>
    </w:rPr>
  </w:style>
  <w:style w:type="paragraph" w:styleId="10">
    <w:name w:val="heading 9"/>
    <w:basedOn w:val="1"/>
    <w:next w:val="1"/>
    <w:link w:val="97"/>
    <w:semiHidden/>
    <w:unhideWhenUsed/>
    <w:qFormat/>
    <w:uiPriority w:val="9"/>
    <w:pPr>
      <w:keepNext/>
      <w:keepLines/>
      <w:spacing w:line="278" w:lineRule="auto"/>
      <w:outlineLvl w:val="8"/>
    </w:pPr>
    <w:rPr>
      <w:rFonts w:asciiTheme="minorHAnsi" w:hAnsiTheme="minorHAnsi" w:eastAsiaTheme="majorEastAsia" w:cstheme="majorBidi"/>
      <w:color w:val="262626" w:themeColor="text1" w:themeTint="D9"/>
      <w:kern w:val="2"/>
      <w:sz w:val="24"/>
      <w:szCs w:val="24"/>
      <w:lang w:eastAsia="en-US"/>
      <w14:textFill>
        <w14:solidFill>
          <w14:schemeClr w14:val="tx1">
            <w14:lumMod w14:val="85000"/>
            <w14:lumOff w14:val="1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endnote reference"/>
    <w:basedOn w:val="11"/>
    <w:semiHidden/>
    <w:unhideWhenUsed/>
    <w:qFormat/>
    <w:uiPriority w:val="99"/>
    <w:rPr>
      <w:vertAlign w:val="superscript"/>
    </w:rPr>
  </w:style>
  <w:style w:type="character" w:styleId="14">
    <w:name w:val="Strong"/>
    <w:basedOn w:val="11"/>
    <w:qFormat/>
    <w:uiPriority w:val="22"/>
    <w:rPr>
      <w:b/>
      <w:bCs/>
    </w:rPr>
  </w:style>
  <w:style w:type="character" w:styleId="15">
    <w:name w:val="annotation reference"/>
    <w:basedOn w:val="11"/>
    <w:semiHidden/>
    <w:unhideWhenUsed/>
    <w:qFormat/>
    <w:uiPriority w:val="99"/>
    <w:rPr>
      <w:sz w:val="16"/>
      <w:szCs w:val="16"/>
    </w:rPr>
  </w:style>
  <w:style w:type="character" w:styleId="16">
    <w:name w:val="FollowedHyperlink"/>
    <w:qFormat/>
    <w:uiPriority w:val="99"/>
    <w:rPr>
      <w:color w:val="954F72"/>
      <w:u w:val="single"/>
    </w:rPr>
  </w:style>
  <w:style w:type="character" w:styleId="17">
    <w:name w:val="Emphasis"/>
    <w:qFormat/>
    <w:uiPriority w:val="20"/>
    <w:rPr>
      <w:i/>
      <w:iCs/>
    </w:rPr>
  </w:style>
  <w:style w:type="character" w:styleId="18">
    <w:name w:val="HTML Cite"/>
    <w:qFormat/>
    <w:uiPriority w:val="0"/>
    <w:rPr>
      <w:i/>
      <w:iCs/>
    </w:rPr>
  </w:style>
  <w:style w:type="character" w:styleId="19">
    <w:name w:val="Hyperlink"/>
    <w:basedOn w:val="11"/>
    <w:unhideWhenUsed/>
    <w:qFormat/>
    <w:uiPriority w:val="99"/>
    <w:rPr>
      <w:color w:val="0000FF" w:themeColor="hyperlink"/>
      <w:u w:val="single"/>
      <w14:textFill>
        <w14:solidFill>
          <w14:schemeClr w14:val="hlink"/>
        </w14:solidFill>
      </w14:textFill>
    </w:rPr>
  </w:style>
  <w:style w:type="character" w:styleId="20">
    <w:name w:val="page number"/>
    <w:basedOn w:val="21"/>
    <w:qFormat/>
    <w:uiPriority w:val="99"/>
  </w:style>
  <w:style w:type="character" w:customStyle="1" w:styleId="21">
    <w:name w:val="Fonte parág. padrão2"/>
    <w:qFormat/>
    <w:uiPriority w:val="0"/>
  </w:style>
  <w:style w:type="paragraph" w:styleId="22">
    <w:name w:val="toc 2"/>
    <w:basedOn w:val="1"/>
    <w:next w:val="1"/>
    <w:qFormat/>
    <w:uiPriority w:val="0"/>
    <w:pPr>
      <w:suppressAutoHyphens/>
      <w:spacing w:line="240" w:lineRule="auto"/>
      <w:ind w:left="200"/>
    </w:pPr>
    <w:rPr>
      <w:rFonts w:ascii="Times New Roman" w:hAnsi="Times New Roman" w:eastAsia="Times New Roman" w:cs="Times New Roman"/>
      <w:sz w:val="20"/>
      <w:szCs w:val="20"/>
      <w:lang w:eastAsia="zh-CN"/>
    </w:rPr>
  </w:style>
  <w:style w:type="paragraph" w:styleId="23">
    <w:name w:val="List"/>
    <w:basedOn w:val="24"/>
    <w:qFormat/>
    <w:uiPriority w:val="0"/>
    <w:pPr>
      <w:widowControl/>
      <w:suppressAutoHyphens/>
      <w:autoSpaceDE/>
      <w:autoSpaceDN/>
      <w:spacing w:after="120"/>
    </w:pPr>
    <w:rPr>
      <w:rFonts w:ascii="Times New Roman" w:hAnsi="Times New Roman" w:eastAsia="Times New Roman"/>
      <w:sz w:val="20"/>
      <w:szCs w:val="20"/>
      <w:lang w:val="pt-BR" w:eastAsia="zh-CN" w:bidi="ar-SA"/>
    </w:rPr>
  </w:style>
  <w:style w:type="paragraph" w:styleId="24">
    <w:name w:val="Body Text"/>
    <w:basedOn w:val="1"/>
    <w:link w:val="116"/>
    <w:qFormat/>
    <w:uiPriority w:val="1"/>
    <w:pPr>
      <w:widowControl w:val="0"/>
      <w:autoSpaceDE w:val="0"/>
      <w:autoSpaceDN w:val="0"/>
      <w:spacing w:line="240" w:lineRule="auto"/>
    </w:pPr>
    <w:rPr>
      <w:sz w:val="24"/>
      <w:szCs w:val="24"/>
      <w:lang w:val="pt-PT" w:eastAsia="pt-PT" w:bidi="pt-PT"/>
    </w:rPr>
  </w:style>
  <w:style w:type="paragraph" w:styleId="25">
    <w:name w:val="annotation text"/>
    <w:basedOn w:val="1"/>
    <w:link w:val="120"/>
    <w:unhideWhenUsed/>
    <w:qFormat/>
    <w:uiPriority w:val="99"/>
    <w:pPr>
      <w:spacing w:after="160" w:line="240" w:lineRule="auto"/>
    </w:pPr>
    <w:rPr>
      <w:rFonts w:asciiTheme="minorHAnsi" w:hAnsiTheme="minorHAnsi" w:eastAsiaTheme="minorHAnsi" w:cstheme="minorBidi"/>
      <w:kern w:val="2"/>
      <w:sz w:val="20"/>
      <w:szCs w:val="20"/>
      <w:lang w:eastAsia="en-US"/>
    </w:rPr>
  </w:style>
  <w:style w:type="paragraph" w:styleId="26">
    <w:name w:val="Body Text Indent 2"/>
    <w:basedOn w:val="1"/>
    <w:link w:val="119"/>
    <w:semiHidden/>
    <w:unhideWhenUsed/>
    <w:qFormat/>
    <w:uiPriority w:val="99"/>
    <w:pPr>
      <w:widowControl w:val="0"/>
      <w:autoSpaceDE w:val="0"/>
      <w:autoSpaceDN w:val="0"/>
      <w:spacing w:after="120" w:line="480" w:lineRule="auto"/>
      <w:ind w:left="283"/>
    </w:pPr>
    <w:rPr>
      <w:rFonts w:ascii="Calibri" w:hAnsi="Calibri" w:eastAsia="Calibri" w:cs="Calibri"/>
      <w:lang w:val="pt-PT" w:eastAsia="en-US"/>
    </w:rPr>
  </w:style>
  <w:style w:type="paragraph" w:styleId="27">
    <w:name w:val="Title"/>
    <w:basedOn w:val="1"/>
    <w:next w:val="1"/>
    <w:qFormat/>
    <w:uiPriority w:val="10"/>
    <w:pPr>
      <w:spacing w:after="80" w:line="240" w:lineRule="auto"/>
    </w:pPr>
    <w:rPr>
      <w:rFonts w:ascii="Play" w:hAnsi="Play" w:eastAsia="Play" w:cs="Play"/>
      <w:sz w:val="56"/>
      <w:szCs w:val="56"/>
    </w:rPr>
  </w:style>
  <w:style w:type="paragraph" w:styleId="28">
    <w:name w:val="endnote text"/>
    <w:basedOn w:val="1"/>
    <w:link w:val="94"/>
    <w:unhideWhenUsed/>
    <w:qFormat/>
    <w:uiPriority w:val="0"/>
    <w:pPr>
      <w:spacing w:line="240" w:lineRule="auto"/>
    </w:pPr>
    <w:rPr>
      <w:sz w:val="20"/>
      <w:szCs w:val="20"/>
    </w:rPr>
  </w:style>
  <w:style w:type="paragraph" w:styleId="29">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rPr>
  </w:style>
  <w:style w:type="paragraph" w:styleId="30">
    <w:name w:val="Signature"/>
    <w:basedOn w:val="1"/>
    <w:link w:val="332"/>
    <w:qFormat/>
    <w:uiPriority w:val="0"/>
    <w:pPr>
      <w:widowControl w:val="0"/>
      <w:suppressLineNumbers/>
      <w:suppressAutoHyphens/>
      <w:spacing w:line="240" w:lineRule="auto"/>
    </w:pPr>
    <w:rPr>
      <w:lang w:eastAsia="en-US"/>
    </w:rPr>
  </w:style>
  <w:style w:type="paragraph" w:styleId="31">
    <w:name w:val="header"/>
    <w:basedOn w:val="1"/>
    <w:link w:val="92"/>
    <w:unhideWhenUsed/>
    <w:qFormat/>
    <w:uiPriority w:val="0"/>
    <w:pPr>
      <w:tabs>
        <w:tab w:val="center" w:pos="4252"/>
        <w:tab w:val="right" w:pos="8504"/>
      </w:tabs>
      <w:spacing w:line="240" w:lineRule="auto"/>
    </w:pPr>
  </w:style>
  <w:style w:type="paragraph" w:styleId="32">
    <w:name w:val="annotation subject"/>
    <w:basedOn w:val="25"/>
    <w:next w:val="25"/>
    <w:link w:val="121"/>
    <w:unhideWhenUsed/>
    <w:qFormat/>
    <w:uiPriority w:val="99"/>
    <w:rPr>
      <w:b/>
      <w:bCs/>
    </w:rPr>
  </w:style>
  <w:style w:type="paragraph" w:styleId="33">
    <w:name w:val="footer"/>
    <w:basedOn w:val="1"/>
    <w:link w:val="93"/>
    <w:unhideWhenUsed/>
    <w:qFormat/>
    <w:uiPriority w:val="99"/>
    <w:pPr>
      <w:tabs>
        <w:tab w:val="center" w:pos="4252"/>
        <w:tab w:val="right" w:pos="8504"/>
      </w:tabs>
      <w:spacing w:line="240" w:lineRule="auto"/>
    </w:pPr>
  </w:style>
  <w:style w:type="paragraph" w:styleId="34">
    <w:name w:val="caption"/>
    <w:basedOn w:val="1"/>
    <w:next w:val="1"/>
    <w:unhideWhenUsed/>
    <w:qFormat/>
    <w:uiPriority w:val="0"/>
    <w:pPr>
      <w:widowControl w:val="0"/>
      <w:autoSpaceDE w:val="0"/>
      <w:autoSpaceDN w:val="0"/>
      <w:spacing w:after="200" w:line="240" w:lineRule="auto"/>
    </w:pPr>
    <w:rPr>
      <w:rFonts w:ascii="Calibri" w:hAnsi="Calibri" w:eastAsia="Calibri" w:cs="Calibri"/>
      <w:i/>
      <w:iCs/>
      <w:color w:val="1F497D" w:themeColor="text2"/>
      <w:sz w:val="18"/>
      <w:szCs w:val="18"/>
      <w:lang w:val="pt-PT" w:eastAsia="en-US"/>
      <w14:textFill>
        <w14:solidFill>
          <w14:schemeClr w14:val="tx2"/>
        </w14:solidFill>
      </w14:textFill>
    </w:rPr>
  </w:style>
  <w:style w:type="paragraph" w:styleId="35">
    <w:name w:val="Balloon Text"/>
    <w:basedOn w:val="1"/>
    <w:link w:val="118"/>
    <w:unhideWhenUsed/>
    <w:qFormat/>
    <w:uiPriority w:val="99"/>
    <w:pPr>
      <w:widowControl w:val="0"/>
      <w:autoSpaceDE w:val="0"/>
      <w:autoSpaceDN w:val="0"/>
      <w:spacing w:line="240" w:lineRule="auto"/>
    </w:pPr>
    <w:rPr>
      <w:rFonts w:ascii="Tahoma" w:hAnsi="Tahoma" w:eastAsia="Calibri" w:cs="Tahoma"/>
      <w:sz w:val="16"/>
      <w:szCs w:val="16"/>
      <w:lang w:val="pt-PT" w:eastAsia="en-US"/>
    </w:rPr>
  </w:style>
  <w:style w:type="paragraph" w:styleId="36">
    <w:name w:val="Subtitle"/>
    <w:basedOn w:val="1"/>
    <w:next w:val="1"/>
    <w:qFormat/>
    <w:uiPriority w:val="11"/>
    <w:pPr>
      <w:spacing w:after="160" w:line="278" w:lineRule="auto"/>
    </w:pPr>
    <w:rPr>
      <w:rFonts w:ascii="Aptos" w:hAnsi="Aptos" w:eastAsia="Aptos" w:cs="Aptos"/>
      <w:color w:val="595959"/>
      <w:sz w:val="28"/>
      <w:szCs w:val="28"/>
    </w:rPr>
  </w:style>
  <w:style w:type="paragraph" w:styleId="37">
    <w:name w:val="footnote text"/>
    <w:basedOn w:val="1"/>
    <w:link w:val="255"/>
    <w:qFormat/>
    <w:uiPriority w:val="0"/>
    <w:pPr>
      <w:suppressAutoHyphens/>
      <w:spacing w:line="240" w:lineRule="auto"/>
    </w:pPr>
    <w:rPr>
      <w:rFonts w:ascii="Times New Roman" w:hAnsi="Times New Roman" w:eastAsia="SimSun" w:cs="Times New Roman"/>
      <w:sz w:val="20"/>
      <w:szCs w:val="20"/>
      <w:lang w:eastAsia="zh-CN"/>
    </w:rPr>
  </w:style>
  <w:style w:type="paragraph" w:styleId="38">
    <w:name w:val="toc 1"/>
    <w:basedOn w:val="1"/>
    <w:next w:val="1"/>
    <w:autoRedefine/>
    <w:unhideWhenUsed/>
    <w:qFormat/>
    <w:uiPriority w:val="39"/>
    <w:pPr>
      <w:suppressAutoHyphens/>
      <w:spacing w:after="100" w:line="240" w:lineRule="auto"/>
      <w:jc w:val="both"/>
    </w:pPr>
    <w:rPr>
      <w:rFonts w:eastAsia="Times New Roman" w:cs="Times New Roman"/>
      <w:sz w:val="24"/>
      <w:szCs w:val="20"/>
    </w:rPr>
  </w:style>
  <w:style w:type="paragraph" w:styleId="39">
    <w:name w:val="Body Text Indent"/>
    <w:basedOn w:val="1"/>
    <w:link w:val="247"/>
    <w:qFormat/>
    <w:uiPriority w:val="0"/>
    <w:pPr>
      <w:suppressAutoHyphens/>
      <w:spacing w:after="120" w:line="240" w:lineRule="auto"/>
      <w:ind w:left="283"/>
    </w:pPr>
    <w:rPr>
      <w:rFonts w:ascii="Times New Roman" w:hAnsi="Times New Roman" w:eastAsia="Times New Roman" w:cs="Times New Roman"/>
      <w:sz w:val="24"/>
      <w:szCs w:val="24"/>
      <w:lang w:val="en-US" w:eastAsia="zh-CN"/>
    </w:rPr>
  </w:style>
  <w:style w:type="table" w:styleId="40">
    <w:name w:val="Table Grid"/>
    <w:basedOn w:val="12"/>
    <w:qFormat/>
    <w:uiPriority w:val="3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1">
    <w:name w:val="TableNormal"/>
    <w:qFormat/>
    <w:uiPriority w:val="0"/>
    <w:tblPr>
      <w:tblCellMar>
        <w:top w:w="100" w:type="dxa"/>
        <w:left w:w="100" w:type="dxa"/>
        <w:bottom w:w="100" w:type="dxa"/>
        <w:right w:w="100" w:type="dxa"/>
      </w:tblCellMar>
    </w:tblPr>
  </w:style>
  <w:style w:type="table" w:customStyle="1" w:styleId="42">
    <w:name w:val="Table Normal"/>
    <w:qFormat/>
    <w:uiPriority w:val="0"/>
    <w:tblPr>
      <w:tblCellMar>
        <w:top w:w="0" w:type="dxa"/>
        <w:left w:w="0" w:type="dxa"/>
        <w:bottom w:w="0" w:type="dxa"/>
        <w:right w:w="0" w:type="dxa"/>
      </w:tblCellMar>
    </w:tblPr>
  </w:style>
  <w:style w:type="table" w:customStyle="1" w:styleId="43">
    <w:name w:val="_Style 17"/>
    <w:basedOn w:val="42"/>
    <w:qFormat/>
    <w:uiPriority w:val="0"/>
    <w:pPr>
      <w:widowControl w:val="0"/>
      <w:spacing w:line="240" w:lineRule="auto"/>
    </w:pPr>
    <w:tblPr>
      <w:tblCellMar>
        <w:top w:w="0" w:type="dxa"/>
        <w:left w:w="115" w:type="dxa"/>
        <w:bottom w:w="0" w:type="dxa"/>
        <w:right w:w="115" w:type="dxa"/>
      </w:tblCellMar>
    </w:tblPr>
  </w:style>
  <w:style w:type="table" w:customStyle="1" w:styleId="44">
    <w:name w:val="_Style 18"/>
    <w:basedOn w:val="42"/>
    <w:qFormat/>
    <w:uiPriority w:val="0"/>
    <w:pPr>
      <w:widowControl w:val="0"/>
      <w:spacing w:line="240" w:lineRule="auto"/>
    </w:pPr>
    <w:tblPr>
      <w:tblCellMar>
        <w:top w:w="0" w:type="dxa"/>
        <w:left w:w="115" w:type="dxa"/>
        <w:bottom w:w="0" w:type="dxa"/>
        <w:right w:w="115" w:type="dxa"/>
      </w:tblCellMar>
    </w:tblPr>
  </w:style>
  <w:style w:type="table" w:customStyle="1" w:styleId="45">
    <w:name w:val="_Style 19"/>
    <w:basedOn w:val="42"/>
    <w:qFormat/>
    <w:uiPriority w:val="0"/>
    <w:pPr>
      <w:widowControl w:val="0"/>
      <w:spacing w:line="240" w:lineRule="auto"/>
    </w:pPr>
    <w:tblPr>
      <w:tblCellMar>
        <w:top w:w="0" w:type="dxa"/>
        <w:left w:w="115" w:type="dxa"/>
        <w:bottom w:w="0" w:type="dxa"/>
        <w:right w:w="115" w:type="dxa"/>
      </w:tblCellMar>
    </w:tblPr>
  </w:style>
  <w:style w:type="table" w:customStyle="1" w:styleId="46">
    <w:name w:val="_Style 20"/>
    <w:basedOn w:val="42"/>
    <w:qFormat/>
    <w:uiPriority w:val="0"/>
    <w:pPr>
      <w:widowControl w:val="0"/>
      <w:spacing w:line="240" w:lineRule="auto"/>
    </w:pPr>
    <w:tblPr>
      <w:tblCellMar>
        <w:top w:w="0" w:type="dxa"/>
        <w:left w:w="115" w:type="dxa"/>
        <w:bottom w:w="0" w:type="dxa"/>
        <w:right w:w="115" w:type="dxa"/>
      </w:tblCellMar>
    </w:tblPr>
  </w:style>
  <w:style w:type="table" w:customStyle="1" w:styleId="47">
    <w:name w:val="_Style 21"/>
    <w:basedOn w:val="42"/>
    <w:qFormat/>
    <w:uiPriority w:val="0"/>
    <w:pPr>
      <w:widowControl w:val="0"/>
      <w:spacing w:line="240" w:lineRule="auto"/>
    </w:pPr>
    <w:tblPr>
      <w:tblCellMar>
        <w:top w:w="0" w:type="dxa"/>
        <w:left w:w="115" w:type="dxa"/>
        <w:bottom w:w="0" w:type="dxa"/>
        <w:right w:w="115" w:type="dxa"/>
      </w:tblCellMar>
    </w:tblPr>
  </w:style>
  <w:style w:type="table" w:customStyle="1" w:styleId="48">
    <w:name w:val="_Style 22"/>
    <w:basedOn w:val="42"/>
    <w:qFormat/>
    <w:uiPriority w:val="0"/>
    <w:pPr>
      <w:widowControl w:val="0"/>
      <w:spacing w:line="240" w:lineRule="auto"/>
    </w:pPr>
    <w:tblPr>
      <w:tblCellMar>
        <w:top w:w="0" w:type="dxa"/>
        <w:left w:w="70" w:type="dxa"/>
        <w:bottom w:w="0" w:type="dxa"/>
        <w:right w:w="70" w:type="dxa"/>
      </w:tblCellMar>
    </w:tblPr>
  </w:style>
  <w:style w:type="table" w:customStyle="1" w:styleId="49">
    <w:name w:val="_Style 23"/>
    <w:basedOn w:val="42"/>
    <w:qFormat/>
    <w:uiPriority w:val="0"/>
    <w:pPr>
      <w:widowControl w:val="0"/>
      <w:spacing w:line="240" w:lineRule="auto"/>
    </w:pPr>
    <w:tblPr>
      <w:tblCellMar>
        <w:top w:w="0" w:type="dxa"/>
        <w:left w:w="115" w:type="dxa"/>
        <w:bottom w:w="0" w:type="dxa"/>
        <w:right w:w="115" w:type="dxa"/>
      </w:tblCellMar>
    </w:tblPr>
  </w:style>
  <w:style w:type="table" w:customStyle="1" w:styleId="50">
    <w:name w:val="_Style 24"/>
    <w:basedOn w:val="42"/>
    <w:qFormat/>
    <w:uiPriority w:val="0"/>
    <w:pPr>
      <w:widowControl w:val="0"/>
      <w:spacing w:line="240" w:lineRule="auto"/>
    </w:pPr>
    <w:tblPr>
      <w:tblCellMar>
        <w:top w:w="0" w:type="dxa"/>
        <w:left w:w="0" w:type="dxa"/>
        <w:bottom w:w="0" w:type="dxa"/>
        <w:right w:w="0" w:type="dxa"/>
      </w:tblCellMar>
    </w:tblPr>
  </w:style>
  <w:style w:type="table" w:customStyle="1" w:styleId="51">
    <w:name w:val="_Style 25"/>
    <w:basedOn w:val="42"/>
    <w:qFormat/>
    <w:uiPriority w:val="0"/>
    <w:pPr>
      <w:widowControl w:val="0"/>
      <w:spacing w:line="240" w:lineRule="auto"/>
    </w:pPr>
    <w:tblPr>
      <w:tblCellMar>
        <w:top w:w="0" w:type="dxa"/>
        <w:left w:w="115" w:type="dxa"/>
        <w:bottom w:w="0" w:type="dxa"/>
        <w:right w:w="115" w:type="dxa"/>
      </w:tblCellMar>
    </w:tblPr>
  </w:style>
  <w:style w:type="table" w:customStyle="1" w:styleId="52">
    <w:name w:val="_Style 26"/>
    <w:basedOn w:val="42"/>
    <w:qFormat/>
    <w:uiPriority w:val="0"/>
    <w:pPr>
      <w:widowControl w:val="0"/>
      <w:spacing w:line="240" w:lineRule="auto"/>
    </w:pPr>
    <w:tblPr>
      <w:tblCellMar>
        <w:top w:w="0" w:type="dxa"/>
        <w:left w:w="0" w:type="dxa"/>
        <w:bottom w:w="0" w:type="dxa"/>
        <w:right w:w="0" w:type="dxa"/>
      </w:tblCellMar>
    </w:tblPr>
  </w:style>
  <w:style w:type="table" w:customStyle="1" w:styleId="53">
    <w:name w:val="_Style 27"/>
    <w:basedOn w:val="42"/>
    <w:qFormat/>
    <w:uiPriority w:val="0"/>
    <w:pPr>
      <w:widowControl w:val="0"/>
      <w:spacing w:line="240" w:lineRule="auto"/>
    </w:pPr>
    <w:tblPr>
      <w:tblCellMar>
        <w:top w:w="0" w:type="dxa"/>
        <w:left w:w="115" w:type="dxa"/>
        <w:bottom w:w="0" w:type="dxa"/>
        <w:right w:w="115" w:type="dxa"/>
      </w:tblCellMar>
    </w:tblPr>
  </w:style>
  <w:style w:type="table" w:customStyle="1" w:styleId="54">
    <w:name w:val="_Style 28"/>
    <w:basedOn w:val="42"/>
    <w:qFormat/>
    <w:uiPriority w:val="0"/>
    <w:pPr>
      <w:widowControl w:val="0"/>
      <w:spacing w:line="240" w:lineRule="auto"/>
    </w:pPr>
    <w:tblPr>
      <w:tblCellMar>
        <w:top w:w="0" w:type="dxa"/>
        <w:left w:w="115" w:type="dxa"/>
        <w:bottom w:w="0" w:type="dxa"/>
        <w:right w:w="115" w:type="dxa"/>
      </w:tblCellMar>
    </w:tblPr>
  </w:style>
  <w:style w:type="table" w:customStyle="1" w:styleId="55">
    <w:name w:val="_Style 29"/>
    <w:basedOn w:val="42"/>
    <w:qFormat/>
    <w:uiPriority w:val="0"/>
    <w:pPr>
      <w:widowControl w:val="0"/>
      <w:spacing w:line="240" w:lineRule="auto"/>
    </w:pPr>
    <w:tblPr>
      <w:tblCellMar>
        <w:top w:w="0" w:type="dxa"/>
        <w:left w:w="115" w:type="dxa"/>
        <w:bottom w:w="0" w:type="dxa"/>
        <w:right w:w="115" w:type="dxa"/>
      </w:tblCellMar>
    </w:tblPr>
  </w:style>
  <w:style w:type="table" w:customStyle="1" w:styleId="56">
    <w:name w:val="_Style 30"/>
    <w:basedOn w:val="42"/>
    <w:qFormat/>
    <w:uiPriority w:val="0"/>
    <w:pPr>
      <w:widowControl w:val="0"/>
      <w:spacing w:line="240" w:lineRule="auto"/>
    </w:pPr>
    <w:tblPr>
      <w:tblCellMar>
        <w:top w:w="0" w:type="dxa"/>
        <w:left w:w="115" w:type="dxa"/>
        <w:bottom w:w="0" w:type="dxa"/>
        <w:right w:w="115" w:type="dxa"/>
      </w:tblCellMar>
    </w:tblPr>
  </w:style>
  <w:style w:type="table" w:customStyle="1" w:styleId="57">
    <w:name w:val="_Style 31"/>
    <w:basedOn w:val="42"/>
    <w:qFormat/>
    <w:uiPriority w:val="0"/>
    <w:pPr>
      <w:widowControl w:val="0"/>
      <w:spacing w:line="240" w:lineRule="auto"/>
    </w:pPr>
    <w:tblPr>
      <w:tblCellMar>
        <w:top w:w="0" w:type="dxa"/>
        <w:left w:w="115" w:type="dxa"/>
        <w:bottom w:w="0" w:type="dxa"/>
        <w:right w:w="115" w:type="dxa"/>
      </w:tblCellMar>
    </w:tblPr>
  </w:style>
  <w:style w:type="table" w:customStyle="1" w:styleId="58">
    <w:name w:val="_Style 32"/>
    <w:basedOn w:val="42"/>
    <w:qFormat/>
    <w:uiPriority w:val="0"/>
    <w:pPr>
      <w:widowControl w:val="0"/>
      <w:spacing w:line="240" w:lineRule="auto"/>
    </w:pPr>
    <w:tblPr>
      <w:tblCellMar>
        <w:top w:w="0" w:type="dxa"/>
        <w:left w:w="108" w:type="dxa"/>
        <w:bottom w:w="0" w:type="dxa"/>
        <w:right w:w="108" w:type="dxa"/>
      </w:tblCellMar>
    </w:tblPr>
  </w:style>
  <w:style w:type="table" w:customStyle="1" w:styleId="59">
    <w:name w:val="_Style 33"/>
    <w:basedOn w:val="42"/>
    <w:qFormat/>
    <w:uiPriority w:val="0"/>
    <w:pPr>
      <w:widowControl w:val="0"/>
      <w:spacing w:line="240" w:lineRule="auto"/>
    </w:pPr>
    <w:tblPr>
      <w:tblCellMar>
        <w:top w:w="0" w:type="dxa"/>
        <w:left w:w="115" w:type="dxa"/>
        <w:bottom w:w="0" w:type="dxa"/>
        <w:right w:w="115" w:type="dxa"/>
      </w:tblCellMar>
    </w:tblPr>
  </w:style>
  <w:style w:type="table" w:customStyle="1" w:styleId="60">
    <w:name w:val="_Style 34"/>
    <w:basedOn w:val="42"/>
    <w:qFormat/>
    <w:uiPriority w:val="0"/>
    <w:pPr>
      <w:widowControl w:val="0"/>
      <w:spacing w:line="240" w:lineRule="auto"/>
    </w:pPr>
    <w:tblPr>
      <w:tblCellMar>
        <w:top w:w="0" w:type="dxa"/>
        <w:left w:w="108" w:type="dxa"/>
        <w:bottom w:w="0" w:type="dxa"/>
        <w:right w:w="108" w:type="dxa"/>
      </w:tblCellMar>
    </w:tblPr>
  </w:style>
  <w:style w:type="table" w:customStyle="1" w:styleId="61">
    <w:name w:val="_Style 35"/>
    <w:basedOn w:val="42"/>
    <w:qFormat/>
    <w:uiPriority w:val="0"/>
    <w:pPr>
      <w:widowControl w:val="0"/>
      <w:spacing w:line="240" w:lineRule="auto"/>
    </w:pPr>
    <w:tblPr>
      <w:tblCellMar>
        <w:top w:w="0" w:type="dxa"/>
        <w:left w:w="115" w:type="dxa"/>
        <w:bottom w:w="0" w:type="dxa"/>
        <w:right w:w="115" w:type="dxa"/>
      </w:tblCellMar>
    </w:tblPr>
  </w:style>
  <w:style w:type="table" w:customStyle="1" w:styleId="62">
    <w:name w:val="_Style 36"/>
    <w:basedOn w:val="42"/>
    <w:qFormat/>
    <w:uiPriority w:val="0"/>
    <w:pPr>
      <w:widowControl w:val="0"/>
      <w:spacing w:line="240" w:lineRule="auto"/>
    </w:pPr>
    <w:tblPr>
      <w:tblCellMar>
        <w:top w:w="0" w:type="dxa"/>
        <w:left w:w="108" w:type="dxa"/>
        <w:bottom w:w="0" w:type="dxa"/>
        <w:right w:w="108" w:type="dxa"/>
      </w:tblCellMar>
    </w:tblPr>
  </w:style>
  <w:style w:type="table" w:customStyle="1" w:styleId="63">
    <w:name w:val="_Style 37"/>
    <w:basedOn w:val="42"/>
    <w:qFormat/>
    <w:uiPriority w:val="0"/>
    <w:pPr>
      <w:widowControl w:val="0"/>
      <w:spacing w:line="240" w:lineRule="auto"/>
    </w:pPr>
    <w:tblPr>
      <w:tblCellMar>
        <w:top w:w="0" w:type="dxa"/>
        <w:left w:w="115" w:type="dxa"/>
        <w:bottom w:w="0" w:type="dxa"/>
        <w:right w:w="115" w:type="dxa"/>
      </w:tblCellMar>
    </w:tblPr>
  </w:style>
  <w:style w:type="table" w:customStyle="1" w:styleId="64">
    <w:name w:val="_Style 38"/>
    <w:basedOn w:val="42"/>
    <w:qFormat/>
    <w:uiPriority w:val="0"/>
    <w:pPr>
      <w:widowControl w:val="0"/>
      <w:spacing w:line="240" w:lineRule="auto"/>
    </w:pPr>
    <w:tblPr>
      <w:tblCellMar>
        <w:top w:w="0" w:type="dxa"/>
        <w:left w:w="108" w:type="dxa"/>
        <w:bottom w:w="0" w:type="dxa"/>
        <w:right w:w="108" w:type="dxa"/>
      </w:tblCellMar>
    </w:tblPr>
  </w:style>
  <w:style w:type="table" w:customStyle="1" w:styleId="65">
    <w:name w:val="_Style 39"/>
    <w:basedOn w:val="42"/>
    <w:qFormat/>
    <w:uiPriority w:val="0"/>
    <w:pPr>
      <w:widowControl w:val="0"/>
      <w:spacing w:line="240" w:lineRule="auto"/>
    </w:pPr>
    <w:tblPr>
      <w:tblCellMar>
        <w:top w:w="0" w:type="dxa"/>
        <w:left w:w="115" w:type="dxa"/>
        <w:bottom w:w="0" w:type="dxa"/>
        <w:right w:w="115" w:type="dxa"/>
      </w:tblCellMar>
    </w:tblPr>
  </w:style>
  <w:style w:type="table" w:customStyle="1" w:styleId="66">
    <w:name w:val="_Style 40"/>
    <w:basedOn w:val="42"/>
    <w:qFormat/>
    <w:uiPriority w:val="0"/>
    <w:pPr>
      <w:widowControl w:val="0"/>
      <w:spacing w:line="240" w:lineRule="auto"/>
    </w:pPr>
    <w:tblPr>
      <w:tblCellMar>
        <w:top w:w="0" w:type="dxa"/>
        <w:left w:w="108" w:type="dxa"/>
        <w:bottom w:w="0" w:type="dxa"/>
        <w:right w:w="108" w:type="dxa"/>
      </w:tblCellMar>
    </w:tblPr>
  </w:style>
  <w:style w:type="table" w:customStyle="1" w:styleId="67">
    <w:name w:val="_Style 41"/>
    <w:basedOn w:val="42"/>
    <w:qFormat/>
    <w:uiPriority w:val="0"/>
    <w:pPr>
      <w:widowControl w:val="0"/>
      <w:spacing w:line="240" w:lineRule="auto"/>
    </w:pPr>
    <w:tblPr>
      <w:tblCellMar>
        <w:top w:w="0" w:type="dxa"/>
        <w:left w:w="115" w:type="dxa"/>
        <w:bottom w:w="0" w:type="dxa"/>
        <w:right w:w="115" w:type="dxa"/>
      </w:tblCellMar>
    </w:tblPr>
  </w:style>
  <w:style w:type="table" w:customStyle="1" w:styleId="68">
    <w:name w:val="_Style 42"/>
    <w:basedOn w:val="42"/>
    <w:qFormat/>
    <w:uiPriority w:val="0"/>
    <w:pPr>
      <w:widowControl w:val="0"/>
      <w:spacing w:line="240" w:lineRule="auto"/>
    </w:pPr>
    <w:tblPr>
      <w:tblCellMar>
        <w:top w:w="15" w:type="dxa"/>
        <w:left w:w="15" w:type="dxa"/>
        <w:bottom w:w="15" w:type="dxa"/>
        <w:right w:w="15" w:type="dxa"/>
      </w:tblCellMar>
    </w:tblPr>
  </w:style>
  <w:style w:type="table" w:customStyle="1" w:styleId="69">
    <w:name w:val="_Style 43"/>
    <w:basedOn w:val="42"/>
    <w:qFormat/>
    <w:uiPriority w:val="0"/>
    <w:pPr>
      <w:widowControl w:val="0"/>
      <w:spacing w:line="240" w:lineRule="auto"/>
    </w:pPr>
    <w:tblPr>
      <w:tblCellMar>
        <w:top w:w="15" w:type="dxa"/>
        <w:left w:w="15" w:type="dxa"/>
        <w:bottom w:w="15" w:type="dxa"/>
        <w:right w:w="15" w:type="dxa"/>
      </w:tblCellMar>
    </w:tblPr>
  </w:style>
  <w:style w:type="table" w:customStyle="1" w:styleId="70">
    <w:name w:val="_Style 44"/>
    <w:basedOn w:val="42"/>
    <w:qFormat/>
    <w:uiPriority w:val="0"/>
    <w:pPr>
      <w:widowControl w:val="0"/>
      <w:spacing w:line="240" w:lineRule="auto"/>
    </w:pPr>
    <w:tblPr>
      <w:tblCellMar>
        <w:top w:w="0" w:type="dxa"/>
        <w:left w:w="115" w:type="dxa"/>
        <w:bottom w:w="0" w:type="dxa"/>
        <w:right w:w="115" w:type="dxa"/>
      </w:tblCellMar>
    </w:tblPr>
  </w:style>
  <w:style w:type="table" w:customStyle="1" w:styleId="71">
    <w:name w:val="_Style 45"/>
    <w:basedOn w:val="42"/>
    <w:qFormat/>
    <w:uiPriority w:val="0"/>
    <w:pPr>
      <w:widowControl w:val="0"/>
      <w:spacing w:line="240" w:lineRule="auto"/>
    </w:pPr>
    <w:tblPr>
      <w:tblCellMar>
        <w:top w:w="0" w:type="dxa"/>
        <w:left w:w="115" w:type="dxa"/>
        <w:bottom w:w="0" w:type="dxa"/>
        <w:right w:w="115" w:type="dxa"/>
      </w:tblCellMar>
    </w:tblPr>
  </w:style>
  <w:style w:type="paragraph" w:styleId="72">
    <w:name w:val="List Paragraph"/>
    <w:basedOn w:val="1"/>
    <w:link w:val="102"/>
    <w:qFormat/>
    <w:uiPriority w:val="34"/>
    <w:pPr>
      <w:ind w:left="720"/>
      <w:contextualSpacing/>
    </w:pPr>
  </w:style>
  <w:style w:type="table" w:customStyle="1" w:styleId="73">
    <w:name w:val="_Style 48"/>
    <w:basedOn w:val="42"/>
    <w:qFormat/>
    <w:uiPriority w:val="0"/>
    <w:pPr>
      <w:widowControl w:val="0"/>
      <w:spacing w:line="240" w:lineRule="auto"/>
    </w:pPr>
    <w:tblPr>
      <w:tblCellMar>
        <w:top w:w="0" w:type="dxa"/>
        <w:left w:w="115" w:type="dxa"/>
        <w:bottom w:w="0" w:type="dxa"/>
        <w:right w:w="115" w:type="dxa"/>
      </w:tblCellMar>
    </w:tblPr>
  </w:style>
  <w:style w:type="table" w:customStyle="1" w:styleId="74">
    <w:name w:val="_Style 49"/>
    <w:basedOn w:val="42"/>
    <w:qFormat/>
    <w:uiPriority w:val="0"/>
    <w:pPr>
      <w:widowControl w:val="0"/>
      <w:spacing w:line="240" w:lineRule="auto"/>
    </w:pPr>
    <w:tblPr>
      <w:tblCellMar>
        <w:top w:w="0" w:type="dxa"/>
        <w:left w:w="108" w:type="dxa"/>
        <w:bottom w:w="0" w:type="dxa"/>
        <w:right w:w="108" w:type="dxa"/>
      </w:tblCellMar>
    </w:tblPr>
  </w:style>
  <w:style w:type="table" w:customStyle="1" w:styleId="75">
    <w:name w:val="_Style 50"/>
    <w:basedOn w:val="42"/>
    <w:qFormat/>
    <w:uiPriority w:val="0"/>
    <w:pPr>
      <w:widowControl w:val="0"/>
      <w:spacing w:line="240" w:lineRule="auto"/>
    </w:pPr>
    <w:tblPr>
      <w:tblCellMar>
        <w:top w:w="0" w:type="dxa"/>
        <w:left w:w="115" w:type="dxa"/>
        <w:bottom w:w="0" w:type="dxa"/>
        <w:right w:w="115" w:type="dxa"/>
      </w:tblCellMar>
    </w:tblPr>
  </w:style>
  <w:style w:type="table" w:customStyle="1" w:styleId="76">
    <w:name w:val="_Style 51"/>
    <w:basedOn w:val="42"/>
    <w:qFormat/>
    <w:uiPriority w:val="0"/>
    <w:pPr>
      <w:widowControl w:val="0"/>
      <w:spacing w:line="240" w:lineRule="auto"/>
    </w:pPr>
    <w:tblPr>
      <w:tblCellMar>
        <w:top w:w="0" w:type="dxa"/>
        <w:left w:w="108" w:type="dxa"/>
        <w:bottom w:w="0" w:type="dxa"/>
        <w:right w:w="108" w:type="dxa"/>
      </w:tblCellMar>
    </w:tblPr>
  </w:style>
  <w:style w:type="table" w:customStyle="1" w:styleId="77">
    <w:name w:val="_Style 52"/>
    <w:basedOn w:val="42"/>
    <w:qFormat/>
    <w:uiPriority w:val="0"/>
    <w:pPr>
      <w:widowControl w:val="0"/>
      <w:spacing w:line="240" w:lineRule="auto"/>
    </w:pPr>
    <w:tblPr>
      <w:tblCellMar>
        <w:top w:w="0" w:type="dxa"/>
        <w:left w:w="115" w:type="dxa"/>
        <w:bottom w:w="0" w:type="dxa"/>
        <w:right w:w="115" w:type="dxa"/>
      </w:tblCellMar>
    </w:tblPr>
  </w:style>
  <w:style w:type="table" w:customStyle="1" w:styleId="78">
    <w:name w:val="_Style 53"/>
    <w:basedOn w:val="42"/>
    <w:qFormat/>
    <w:uiPriority w:val="0"/>
    <w:pPr>
      <w:widowControl w:val="0"/>
      <w:spacing w:line="240" w:lineRule="auto"/>
    </w:pPr>
    <w:tblPr>
      <w:tblCellMar>
        <w:top w:w="0" w:type="dxa"/>
        <w:left w:w="108" w:type="dxa"/>
        <w:bottom w:w="0" w:type="dxa"/>
        <w:right w:w="108" w:type="dxa"/>
      </w:tblCellMar>
    </w:tblPr>
  </w:style>
  <w:style w:type="table" w:customStyle="1" w:styleId="79">
    <w:name w:val="_Style 54"/>
    <w:basedOn w:val="42"/>
    <w:qFormat/>
    <w:uiPriority w:val="0"/>
    <w:pPr>
      <w:widowControl w:val="0"/>
      <w:spacing w:line="240" w:lineRule="auto"/>
    </w:pPr>
    <w:tblPr>
      <w:tblCellMar>
        <w:top w:w="0" w:type="dxa"/>
        <w:left w:w="115" w:type="dxa"/>
        <w:bottom w:w="0" w:type="dxa"/>
        <w:right w:w="115" w:type="dxa"/>
      </w:tblCellMar>
    </w:tblPr>
  </w:style>
  <w:style w:type="table" w:customStyle="1" w:styleId="80">
    <w:name w:val="_Style 55"/>
    <w:basedOn w:val="42"/>
    <w:qFormat/>
    <w:uiPriority w:val="0"/>
    <w:pPr>
      <w:widowControl w:val="0"/>
      <w:spacing w:line="240" w:lineRule="auto"/>
    </w:pPr>
    <w:tblPr>
      <w:tblCellMar>
        <w:top w:w="0" w:type="dxa"/>
        <w:left w:w="108" w:type="dxa"/>
        <w:bottom w:w="0" w:type="dxa"/>
        <w:right w:w="108" w:type="dxa"/>
      </w:tblCellMar>
    </w:tblPr>
  </w:style>
  <w:style w:type="table" w:customStyle="1" w:styleId="81">
    <w:name w:val="_Style 56"/>
    <w:basedOn w:val="42"/>
    <w:qFormat/>
    <w:uiPriority w:val="0"/>
    <w:pPr>
      <w:widowControl w:val="0"/>
      <w:spacing w:line="240" w:lineRule="auto"/>
    </w:pPr>
    <w:tblPr>
      <w:tblCellMar>
        <w:top w:w="0" w:type="dxa"/>
        <w:left w:w="115" w:type="dxa"/>
        <w:bottom w:w="0" w:type="dxa"/>
        <w:right w:w="115" w:type="dxa"/>
      </w:tblCellMar>
    </w:tblPr>
  </w:style>
  <w:style w:type="table" w:customStyle="1" w:styleId="82">
    <w:name w:val="_Style 57"/>
    <w:basedOn w:val="42"/>
    <w:qFormat/>
    <w:uiPriority w:val="0"/>
    <w:pPr>
      <w:widowControl w:val="0"/>
      <w:spacing w:line="240" w:lineRule="auto"/>
    </w:pPr>
    <w:tblPr>
      <w:tblCellMar>
        <w:top w:w="0" w:type="dxa"/>
        <w:left w:w="108" w:type="dxa"/>
        <w:bottom w:w="0" w:type="dxa"/>
        <w:right w:w="108" w:type="dxa"/>
      </w:tblCellMar>
    </w:tblPr>
  </w:style>
  <w:style w:type="table" w:customStyle="1" w:styleId="83">
    <w:name w:val="_Style 58"/>
    <w:basedOn w:val="42"/>
    <w:qFormat/>
    <w:uiPriority w:val="0"/>
    <w:pPr>
      <w:widowControl w:val="0"/>
      <w:spacing w:line="240" w:lineRule="auto"/>
    </w:pPr>
    <w:tblPr>
      <w:tblCellMar>
        <w:top w:w="0" w:type="dxa"/>
        <w:left w:w="115" w:type="dxa"/>
        <w:bottom w:w="0" w:type="dxa"/>
        <w:right w:w="115" w:type="dxa"/>
      </w:tblCellMar>
    </w:tblPr>
  </w:style>
  <w:style w:type="table" w:customStyle="1" w:styleId="84">
    <w:name w:val="_Style 59"/>
    <w:basedOn w:val="42"/>
    <w:qFormat/>
    <w:uiPriority w:val="0"/>
    <w:pPr>
      <w:widowControl w:val="0"/>
      <w:spacing w:line="240" w:lineRule="auto"/>
    </w:pPr>
    <w:tblPr>
      <w:tblCellMar>
        <w:top w:w="0" w:type="dxa"/>
        <w:left w:w="115" w:type="dxa"/>
        <w:bottom w:w="0" w:type="dxa"/>
        <w:right w:w="115" w:type="dxa"/>
      </w:tblCellMar>
    </w:tblPr>
  </w:style>
  <w:style w:type="table" w:customStyle="1" w:styleId="85">
    <w:name w:val="_Style 60"/>
    <w:basedOn w:val="42"/>
    <w:qFormat/>
    <w:uiPriority w:val="0"/>
    <w:pPr>
      <w:widowControl w:val="0"/>
      <w:spacing w:line="240" w:lineRule="auto"/>
    </w:pPr>
    <w:tblPr>
      <w:tblCellMar>
        <w:top w:w="0" w:type="dxa"/>
        <w:left w:w="115" w:type="dxa"/>
        <w:bottom w:w="0" w:type="dxa"/>
        <w:right w:w="115" w:type="dxa"/>
      </w:tblCellMar>
    </w:tblPr>
  </w:style>
  <w:style w:type="table" w:customStyle="1" w:styleId="86">
    <w:name w:val="_Style 61"/>
    <w:basedOn w:val="42"/>
    <w:qFormat/>
    <w:uiPriority w:val="0"/>
    <w:pPr>
      <w:widowControl w:val="0"/>
      <w:spacing w:line="240" w:lineRule="auto"/>
    </w:pPr>
    <w:tblPr>
      <w:tblCellMar>
        <w:top w:w="0" w:type="dxa"/>
        <w:left w:w="115" w:type="dxa"/>
        <w:bottom w:w="0" w:type="dxa"/>
        <w:right w:w="115" w:type="dxa"/>
      </w:tblCellMar>
    </w:tblPr>
  </w:style>
  <w:style w:type="table" w:customStyle="1" w:styleId="87">
    <w:name w:val="_Style 62"/>
    <w:basedOn w:val="42"/>
    <w:qFormat/>
    <w:uiPriority w:val="0"/>
    <w:pPr>
      <w:widowControl w:val="0"/>
      <w:spacing w:line="240" w:lineRule="auto"/>
    </w:pPr>
    <w:tblPr>
      <w:tblCellMar>
        <w:top w:w="0" w:type="dxa"/>
        <w:left w:w="115" w:type="dxa"/>
        <w:bottom w:w="0" w:type="dxa"/>
        <w:right w:w="115" w:type="dxa"/>
      </w:tblCellMar>
    </w:tblPr>
  </w:style>
  <w:style w:type="table" w:customStyle="1" w:styleId="88">
    <w:name w:val="_Style 63"/>
    <w:basedOn w:val="42"/>
    <w:qFormat/>
    <w:uiPriority w:val="0"/>
    <w:pPr>
      <w:widowControl w:val="0"/>
      <w:spacing w:line="240" w:lineRule="auto"/>
    </w:pPr>
    <w:tblPr>
      <w:tblCellMar>
        <w:top w:w="0" w:type="dxa"/>
        <w:left w:w="115" w:type="dxa"/>
        <w:bottom w:w="0" w:type="dxa"/>
        <w:right w:w="115" w:type="dxa"/>
      </w:tblCellMar>
    </w:tblPr>
  </w:style>
  <w:style w:type="table" w:customStyle="1" w:styleId="89">
    <w:name w:val="_Style 64"/>
    <w:basedOn w:val="42"/>
    <w:qFormat/>
    <w:uiPriority w:val="0"/>
    <w:pPr>
      <w:widowControl w:val="0"/>
      <w:spacing w:line="240" w:lineRule="auto"/>
    </w:pPr>
    <w:tblPr>
      <w:tblCellMar>
        <w:top w:w="0" w:type="dxa"/>
        <w:left w:w="70" w:type="dxa"/>
        <w:bottom w:w="0" w:type="dxa"/>
        <w:right w:w="70" w:type="dxa"/>
      </w:tblCellMar>
    </w:tblPr>
  </w:style>
  <w:style w:type="table" w:customStyle="1" w:styleId="90">
    <w:name w:val="_Style 65"/>
    <w:basedOn w:val="42"/>
    <w:qFormat/>
    <w:uiPriority w:val="0"/>
    <w:pPr>
      <w:widowControl w:val="0"/>
      <w:spacing w:line="240" w:lineRule="auto"/>
    </w:pPr>
    <w:tblPr>
      <w:tblCellMar>
        <w:top w:w="0" w:type="dxa"/>
        <w:left w:w="115" w:type="dxa"/>
        <w:bottom w:w="0" w:type="dxa"/>
        <w:right w:w="115" w:type="dxa"/>
      </w:tblCellMar>
    </w:tblPr>
  </w:style>
  <w:style w:type="paragraph" w:customStyle="1" w:styleId="91">
    <w:name w:val="Default"/>
    <w:qFormat/>
    <w:uiPriority w:val="0"/>
    <w:pPr>
      <w:autoSpaceDE w:val="0"/>
      <w:autoSpaceDN w:val="0"/>
      <w:adjustRightInd w:val="0"/>
      <w:spacing w:line="240" w:lineRule="auto"/>
    </w:pPr>
    <w:rPr>
      <w:rFonts w:ascii="Calibri" w:hAnsi="Calibri" w:eastAsia="Arial" w:cs="Calibri"/>
      <w:color w:val="000000"/>
      <w:sz w:val="24"/>
      <w:szCs w:val="24"/>
      <w:lang w:val="pt-BR" w:eastAsia="pt-BR" w:bidi="ar-SA"/>
    </w:rPr>
  </w:style>
  <w:style w:type="character" w:customStyle="1" w:styleId="92">
    <w:name w:val="Cabeçalho Char"/>
    <w:basedOn w:val="11"/>
    <w:link w:val="31"/>
    <w:qFormat/>
    <w:uiPriority w:val="99"/>
  </w:style>
  <w:style w:type="character" w:customStyle="1" w:styleId="93">
    <w:name w:val="Rodapé Char"/>
    <w:basedOn w:val="11"/>
    <w:link w:val="33"/>
    <w:qFormat/>
    <w:uiPriority w:val="99"/>
  </w:style>
  <w:style w:type="character" w:customStyle="1" w:styleId="94">
    <w:name w:val="Texto de nota de fim Char"/>
    <w:basedOn w:val="11"/>
    <w:link w:val="28"/>
    <w:qFormat/>
    <w:uiPriority w:val="0"/>
    <w:rPr>
      <w:sz w:val="20"/>
      <w:szCs w:val="20"/>
    </w:rPr>
  </w:style>
  <w:style w:type="character" w:customStyle="1" w:styleId="95">
    <w:name w:val="Título 7 Char"/>
    <w:basedOn w:val="11"/>
    <w:link w:val="8"/>
    <w:semiHidden/>
    <w:qFormat/>
    <w:uiPriority w:val="9"/>
    <w:rPr>
      <w:rFonts w:asciiTheme="minorHAnsi" w:hAnsiTheme="minorHAnsi" w:eastAsiaTheme="majorEastAsia" w:cstheme="majorBidi"/>
      <w:color w:val="595959" w:themeColor="text1" w:themeTint="A6"/>
      <w:kern w:val="2"/>
      <w:sz w:val="24"/>
      <w:szCs w:val="24"/>
      <w:lang w:eastAsia="en-US"/>
      <w14:textFill>
        <w14:solidFill>
          <w14:schemeClr w14:val="tx1">
            <w14:lumMod w14:val="65000"/>
            <w14:lumOff w14:val="35000"/>
          </w14:schemeClr>
        </w14:solidFill>
      </w14:textFill>
    </w:rPr>
  </w:style>
  <w:style w:type="character" w:customStyle="1" w:styleId="96">
    <w:name w:val="Título 8 Char"/>
    <w:basedOn w:val="11"/>
    <w:link w:val="9"/>
    <w:semiHidden/>
    <w:qFormat/>
    <w:uiPriority w:val="9"/>
    <w:rPr>
      <w:rFonts w:asciiTheme="minorHAnsi" w:hAnsiTheme="minorHAnsi" w:eastAsiaTheme="majorEastAsia" w:cstheme="majorBidi"/>
      <w:i/>
      <w:iCs/>
      <w:color w:val="262626" w:themeColor="text1" w:themeTint="D9"/>
      <w:kern w:val="2"/>
      <w:sz w:val="24"/>
      <w:szCs w:val="24"/>
      <w:lang w:eastAsia="en-US"/>
      <w14:textFill>
        <w14:solidFill>
          <w14:schemeClr w14:val="tx1">
            <w14:lumMod w14:val="85000"/>
            <w14:lumOff w14:val="15000"/>
          </w14:schemeClr>
        </w14:solidFill>
      </w14:textFill>
    </w:rPr>
  </w:style>
  <w:style w:type="character" w:customStyle="1" w:styleId="97">
    <w:name w:val="Título 9 Char"/>
    <w:basedOn w:val="11"/>
    <w:link w:val="10"/>
    <w:semiHidden/>
    <w:qFormat/>
    <w:uiPriority w:val="9"/>
    <w:rPr>
      <w:rFonts w:asciiTheme="minorHAnsi" w:hAnsiTheme="minorHAnsi" w:eastAsiaTheme="majorEastAsia" w:cstheme="majorBidi"/>
      <w:color w:val="262626" w:themeColor="text1" w:themeTint="D9"/>
      <w:kern w:val="2"/>
      <w:sz w:val="24"/>
      <w:szCs w:val="24"/>
      <w:lang w:eastAsia="en-US"/>
      <w14:textFill>
        <w14:solidFill>
          <w14:schemeClr w14:val="tx1">
            <w14:lumMod w14:val="85000"/>
            <w14:lumOff w14:val="15000"/>
          </w14:schemeClr>
        </w14:solidFill>
      </w14:textFill>
    </w:rPr>
  </w:style>
  <w:style w:type="table" w:customStyle="1" w:styleId="98">
    <w:name w:val="TableGrid"/>
    <w:qFormat/>
    <w:uiPriority w:val="0"/>
    <w:pPr>
      <w:spacing w:line="240" w:lineRule="auto"/>
    </w:pPr>
    <w:rPr>
      <w:rFonts w:asciiTheme="minorHAnsi" w:hAnsiTheme="minorHAnsi" w:eastAsiaTheme="minorEastAsia" w:cstheme="minorBidi"/>
      <w:kern w:val="2"/>
      <w:sz w:val="24"/>
      <w:szCs w:val="24"/>
    </w:rPr>
    <w:tblPr>
      <w:tblCellMar>
        <w:top w:w="0" w:type="dxa"/>
        <w:left w:w="0" w:type="dxa"/>
        <w:bottom w:w="0" w:type="dxa"/>
        <w:right w:w="0" w:type="dxa"/>
      </w:tblCellMar>
    </w:tblPr>
  </w:style>
  <w:style w:type="character" w:customStyle="1" w:styleId="99">
    <w:name w:val="Título 1 Char"/>
    <w:basedOn w:val="11"/>
    <w:qFormat/>
    <w:uiPriority w:val="9"/>
    <w:rPr>
      <w:rFonts w:ascii="Play" w:hAnsi="Play" w:eastAsia="Play" w:cs="Play"/>
      <w:color w:val="0F4761"/>
      <w:sz w:val="40"/>
      <w:szCs w:val="40"/>
    </w:rPr>
  </w:style>
  <w:style w:type="paragraph" w:customStyle="1" w:styleId="100">
    <w:name w:val="TOC Heading"/>
    <w:next w:val="1"/>
    <w:unhideWhenUsed/>
    <w:qFormat/>
    <w:uiPriority w:val="39"/>
    <w:pPr>
      <w:spacing w:before="240" w:line="259" w:lineRule="auto"/>
    </w:pPr>
    <w:rPr>
      <w:rFonts w:asciiTheme="majorHAnsi" w:hAnsiTheme="majorHAnsi" w:eastAsiaTheme="majorEastAsia" w:cstheme="majorBidi"/>
      <w:color w:val="376092" w:themeColor="accent1" w:themeShade="BF"/>
      <w:sz w:val="32"/>
      <w:szCs w:val="32"/>
      <w:lang w:val="pt-BR" w:eastAsia="pt-BR" w:bidi="ar-SA"/>
    </w:rPr>
  </w:style>
  <w:style w:type="character" w:customStyle="1" w:styleId="101">
    <w:name w:val="selected"/>
    <w:basedOn w:val="11"/>
    <w:qFormat/>
    <w:uiPriority w:val="0"/>
  </w:style>
  <w:style w:type="character" w:customStyle="1" w:styleId="102">
    <w:name w:val="Parágrafo da Lista Char"/>
    <w:link w:val="72"/>
    <w:qFormat/>
    <w:locked/>
    <w:uiPriority w:val="34"/>
  </w:style>
  <w:style w:type="character" w:customStyle="1" w:styleId="103">
    <w:name w:val="Título 2 Char"/>
    <w:basedOn w:val="11"/>
    <w:qFormat/>
    <w:uiPriority w:val="9"/>
    <w:rPr>
      <w:rFonts w:ascii="Play" w:hAnsi="Play" w:eastAsia="Play" w:cs="Play"/>
      <w:color w:val="0F4761"/>
      <w:sz w:val="32"/>
      <w:szCs w:val="32"/>
    </w:rPr>
  </w:style>
  <w:style w:type="character" w:customStyle="1" w:styleId="104">
    <w:name w:val="Título 3 Char"/>
    <w:basedOn w:val="11"/>
    <w:qFormat/>
    <w:uiPriority w:val="9"/>
    <w:rPr>
      <w:rFonts w:ascii="Aptos" w:hAnsi="Aptos" w:eastAsia="Aptos" w:cs="Aptos"/>
      <w:color w:val="0F4761"/>
      <w:sz w:val="28"/>
      <w:szCs w:val="28"/>
    </w:rPr>
  </w:style>
  <w:style w:type="character" w:customStyle="1" w:styleId="105">
    <w:name w:val="Título 4 Char"/>
    <w:basedOn w:val="11"/>
    <w:qFormat/>
    <w:uiPriority w:val="9"/>
    <w:rPr>
      <w:rFonts w:ascii="Aptos" w:hAnsi="Aptos" w:eastAsia="Aptos" w:cs="Aptos"/>
      <w:i/>
      <w:color w:val="0F4761"/>
      <w:sz w:val="24"/>
      <w:szCs w:val="24"/>
    </w:rPr>
  </w:style>
  <w:style w:type="character" w:customStyle="1" w:styleId="106">
    <w:name w:val="Título 5 Char"/>
    <w:basedOn w:val="11"/>
    <w:qFormat/>
    <w:uiPriority w:val="9"/>
    <w:rPr>
      <w:rFonts w:ascii="Aptos" w:hAnsi="Aptos" w:eastAsia="Aptos" w:cs="Aptos"/>
      <w:color w:val="0F4761"/>
      <w:sz w:val="24"/>
      <w:szCs w:val="24"/>
    </w:rPr>
  </w:style>
  <w:style w:type="character" w:customStyle="1" w:styleId="107">
    <w:name w:val="Título 6 Char"/>
    <w:basedOn w:val="11"/>
    <w:semiHidden/>
    <w:qFormat/>
    <w:uiPriority w:val="9"/>
    <w:rPr>
      <w:rFonts w:ascii="Aptos" w:hAnsi="Aptos" w:eastAsia="Aptos" w:cs="Aptos"/>
      <w:i/>
      <w:color w:val="595959"/>
      <w:sz w:val="24"/>
      <w:szCs w:val="24"/>
    </w:rPr>
  </w:style>
  <w:style w:type="character" w:customStyle="1" w:styleId="108">
    <w:name w:val="Título Char"/>
    <w:basedOn w:val="11"/>
    <w:qFormat/>
    <w:uiPriority w:val="10"/>
    <w:rPr>
      <w:rFonts w:ascii="Play" w:hAnsi="Play" w:eastAsia="Play" w:cs="Play"/>
      <w:sz w:val="56"/>
      <w:szCs w:val="56"/>
    </w:rPr>
  </w:style>
  <w:style w:type="character" w:customStyle="1" w:styleId="109">
    <w:name w:val="Subtítulo Char"/>
    <w:basedOn w:val="11"/>
    <w:qFormat/>
    <w:uiPriority w:val="11"/>
    <w:rPr>
      <w:rFonts w:ascii="Aptos" w:hAnsi="Aptos" w:eastAsia="Aptos" w:cs="Aptos"/>
      <w:color w:val="595959"/>
      <w:sz w:val="28"/>
      <w:szCs w:val="28"/>
    </w:rPr>
  </w:style>
  <w:style w:type="paragraph" w:styleId="110">
    <w:name w:val="Quote"/>
    <w:basedOn w:val="1"/>
    <w:next w:val="1"/>
    <w:link w:val="111"/>
    <w:qFormat/>
    <w:uiPriority w:val="29"/>
    <w:pPr>
      <w:spacing w:before="160" w:after="160" w:line="278" w:lineRule="auto"/>
      <w:jc w:val="center"/>
    </w:pPr>
    <w:rPr>
      <w:rFonts w:asciiTheme="minorHAnsi" w:hAnsiTheme="minorHAnsi" w:eastAsiaTheme="minorHAnsi" w:cstheme="minorBidi"/>
      <w:i/>
      <w:iCs/>
      <w:color w:val="404040" w:themeColor="text1" w:themeTint="BF"/>
      <w:kern w:val="2"/>
      <w:sz w:val="24"/>
      <w:szCs w:val="24"/>
      <w:lang w:eastAsia="en-US"/>
      <w14:textFill>
        <w14:solidFill>
          <w14:schemeClr w14:val="tx1">
            <w14:lumMod w14:val="75000"/>
            <w14:lumOff w14:val="25000"/>
          </w14:schemeClr>
        </w14:solidFill>
      </w14:textFill>
    </w:rPr>
  </w:style>
  <w:style w:type="character" w:customStyle="1" w:styleId="111">
    <w:name w:val="Citação Char"/>
    <w:basedOn w:val="11"/>
    <w:link w:val="110"/>
    <w:qFormat/>
    <w:uiPriority w:val="29"/>
    <w:rPr>
      <w:rFonts w:asciiTheme="minorHAnsi" w:hAnsiTheme="minorHAnsi" w:eastAsiaTheme="minorHAnsi" w:cstheme="minorBidi"/>
      <w:i/>
      <w:iCs/>
      <w:color w:val="404040" w:themeColor="text1" w:themeTint="BF"/>
      <w:kern w:val="2"/>
      <w:sz w:val="24"/>
      <w:szCs w:val="24"/>
      <w:lang w:eastAsia="en-US"/>
      <w14:textFill>
        <w14:solidFill>
          <w14:schemeClr w14:val="tx1">
            <w14:lumMod w14:val="75000"/>
            <w14:lumOff w14:val="25000"/>
          </w14:schemeClr>
        </w14:solidFill>
      </w14:textFill>
    </w:rPr>
  </w:style>
  <w:style w:type="character" w:customStyle="1" w:styleId="112">
    <w:name w:val="Intense Emphasis"/>
    <w:basedOn w:val="11"/>
    <w:qFormat/>
    <w:uiPriority w:val="21"/>
    <w:rPr>
      <w:i/>
      <w:iCs/>
      <w:color w:val="376092" w:themeColor="accent1" w:themeShade="BF"/>
    </w:rPr>
  </w:style>
  <w:style w:type="paragraph" w:styleId="113">
    <w:name w:val="Intense Quote"/>
    <w:basedOn w:val="1"/>
    <w:next w:val="1"/>
    <w:link w:val="114"/>
    <w:qFormat/>
    <w:uiPriority w:val="30"/>
    <w:pPr>
      <w:pBdr>
        <w:top w:val="single" w:color="366091" w:themeColor="accent1" w:themeShade="BF" w:sz="4" w:space="10"/>
        <w:bottom w:val="single" w:color="366091" w:themeColor="accent1" w:themeShade="BF" w:sz="4" w:space="10"/>
      </w:pBdr>
      <w:spacing w:before="360" w:after="360" w:line="278" w:lineRule="auto"/>
      <w:ind w:left="864" w:right="864"/>
      <w:jc w:val="center"/>
    </w:pPr>
    <w:rPr>
      <w:rFonts w:asciiTheme="minorHAnsi" w:hAnsiTheme="minorHAnsi" w:eastAsiaTheme="minorHAnsi" w:cstheme="minorBidi"/>
      <w:i/>
      <w:iCs/>
      <w:color w:val="376092" w:themeColor="accent1" w:themeShade="BF"/>
      <w:kern w:val="2"/>
      <w:sz w:val="24"/>
      <w:szCs w:val="24"/>
      <w:lang w:eastAsia="en-US"/>
    </w:rPr>
  </w:style>
  <w:style w:type="character" w:customStyle="1" w:styleId="114">
    <w:name w:val="Citação Intensa Char"/>
    <w:basedOn w:val="11"/>
    <w:link w:val="113"/>
    <w:qFormat/>
    <w:uiPriority w:val="30"/>
    <w:rPr>
      <w:rFonts w:asciiTheme="minorHAnsi" w:hAnsiTheme="minorHAnsi" w:eastAsiaTheme="minorHAnsi" w:cstheme="minorBidi"/>
      <w:i/>
      <w:iCs/>
      <w:color w:val="376092" w:themeColor="accent1" w:themeShade="BF"/>
      <w:kern w:val="2"/>
      <w:sz w:val="24"/>
      <w:szCs w:val="24"/>
      <w:lang w:eastAsia="en-US"/>
    </w:rPr>
  </w:style>
  <w:style w:type="character" w:customStyle="1" w:styleId="115">
    <w:name w:val="Intense Reference"/>
    <w:basedOn w:val="11"/>
    <w:qFormat/>
    <w:uiPriority w:val="32"/>
    <w:rPr>
      <w:b/>
      <w:bCs/>
      <w:smallCaps/>
      <w:color w:val="376092" w:themeColor="accent1" w:themeShade="BF"/>
      <w:spacing w:val="5"/>
    </w:rPr>
  </w:style>
  <w:style w:type="character" w:customStyle="1" w:styleId="116">
    <w:name w:val="Corpo de texto Char"/>
    <w:basedOn w:val="11"/>
    <w:link w:val="24"/>
    <w:qFormat/>
    <w:uiPriority w:val="1"/>
    <w:rPr>
      <w:sz w:val="24"/>
      <w:szCs w:val="24"/>
      <w:lang w:val="pt-PT" w:eastAsia="pt-PT" w:bidi="pt-PT"/>
    </w:rPr>
  </w:style>
  <w:style w:type="paragraph" w:customStyle="1" w:styleId="117">
    <w:name w:val="Table Paragraph"/>
    <w:basedOn w:val="1"/>
    <w:qFormat/>
    <w:uiPriority w:val="0"/>
    <w:pPr>
      <w:widowControl w:val="0"/>
      <w:autoSpaceDE w:val="0"/>
      <w:autoSpaceDN w:val="0"/>
      <w:spacing w:line="240" w:lineRule="auto"/>
    </w:pPr>
    <w:rPr>
      <w:rFonts w:ascii="Arial MT" w:hAnsi="Arial MT" w:eastAsia="Arial MT" w:cs="Arial MT"/>
      <w:lang w:val="pt-PT" w:eastAsia="en-US"/>
    </w:rPr>
  </w:style>
  <w:style w:type="character" w:customStyle="1" w:styleId="118">
    <w:name w:val="Texto de balão Char"/>
    <w:basedOn w:val="11"/>
    <w:link w:val="35"/>
    <w:qFormat/>
    <w:uiPriority w:val="99"/>
    <w:rPr>
      <w:rFonts w:ascii="Tahoma" w:hAnsi="Tahoma" w:eastAsia="Calibri" w:cs="Tahoma"/>
      <w:sz w:val="16"/>
      <w:szCs w:val="16"/>
      <w:lang w:val="pt-PT" w:eastAsia="en-US"/>
    </w:rPr>
  </w:style>
  <w:style w:type="character" w:customStyle="1" w:styleId="119">
    <w:name w:val="Recuo de corpo de texto 2 Char"/>
    <w:basedOn w:val="11"/>
    <w:link w:val="26"/>
    <w:qFormat/>
    <w:uiPriority w:val="0"/>
    <w:rPr>
      <w:rFonts w:ascii="Calibri" w:hAnsi="Calibri" w:eastAsia="Calibri" w:cs="Calibri"/>
      <w:lang w:val="pt-PT" w:eastAsia="en-US"/>
    </w:rPr>
  </w:style>
  <w:style w:type="character" w:customStyle="1" w:styleId="120">
    <w:name w:val="Texto de comentário Char"/>
    <w:basedOn w:val="11"/>
    <w:link w:val="25"/>
    <w:qFormat/>
    <w:uiPriority w:val="99"/>
    <w:rPr>
      <w:rFonts w:asciiTheme="minorHAnsi" w:hAnsiTheme="minorHAnsi" w:eastAsiaTheme="minorHAnsi" w:cstheme="minorBidi"/>
      <w:kern w:val="2"/>
      <w:sz w:val="20"/>
      <w:szCs w:val="20"/>
      <w:lang w:eastAsia="en-US"/>
    </w:rPr>
  </w:style>
  <w:style w:type="character" w:customStyle="1" w:styleId="121">
    <w:name w:val="Assunto do comentário Char"/>
    <w:basedOn w:val="120"/>
    <w:link w:val="32"/>
    <w:qFormat/>
    <w:uiPriority w:val="99"/>
    <w:rPr>
      <w:rFonts w:asciiTheme="minorHAnsi" w:hAnsiTheme="minorHAnsi" w:eastAsiaTheme="minorHAnsi" w:cstheme="minorBidi"/>
      <w:b/>
      <w:bCs/>
      <w:kern w:val="2"/>
      <w:sz w:val="20"/>
      <w:szCs w:val="20"/>
      <w:lang w:eastAsia="en-US"/>
    </w:rPr>
  </w:style>
  <w:style w:type="paragraph" w:customStyle="1" w:styleId="122">
    <w:name w:val="Nivel 01"/>
    <w:next w:val="1"/>
    <w:link w:val="123"/>
    <w:autoRedefine/>
    <w:qFormat/>
    <w:uiPriority w:val="0"/>
    <w:pPr>
      <w:numPr>
        <w:ilvl w:val="0"/>
        <w:numId w:val="1"/>
      </w:numPr>
      <w:tabs>
        <w:tab w:val="left" w:pos="0"/>
      </w:tabs>
      <w:spacing w:before="240" w:after="120" w:line="276" w:lineRule="auto"/>
      <w:jc w:val="both"/>
    </w:pPr>
    <w:rPr>
      <w:rFonts w:ascii="Arial" w:hAnsi="Arial" w:cs="Arial" w:eastAsiaTheme="majorEastAsia"/>
      <w:b/>
      <w:bCs/>
      <w:spacing w:val="-10"/>
      <w:kern w:val="28"/>
      <w:sz w:val="20"/>
      <w:szCs w:val="20"/>
      <w:lang w:val="pt-BR" w:eastAsia="pt-BR" w:bidi="ar-SA"/>
    </w:rPr>
  </w:style>
  <w:style w:type="character" w:customStyle="1" w:styleId="123">
    <w:name w:val="Nivel 01 Char"/>
    <w:basedOn w:val="108"/>
    <w:link w:val="122"/>
    <w:qFormat/>
    <w:uiPriority w:val="0"/>
    <w:rPr>
      <w:rFonts w:ascii="Play" w:hAnsi="Play" w:cs="Play" w:eastAsiaTheme="majorEastAsia"/>
      <w:b/>
      <w:bCs/>
      <w:spacing w:val="-10"/>
      <w:kern w:val="28"/>
      <w:sz w:val="20"/>
      <w:szCs w:val="20"/>
    </w:rPr>
  </w:style>
  <w:style w:type="paragraph" w:customStyle="1" w:styleId="124">
    <w:name w:val="Nivel 2"/>
    <w:basedOn w:val="1"/>
    <w:link w:val="129"/>
    <w:autoRedefine/>
    <w:qFormat/>
    <w:uiPriority w:val="0"/>
    <w:pPr>
      <w:spacing w:before="120" w:after="120"/>
      <w:ind w:left="857" w:hanging="432"/>
      <w:jc w:val="both"/>
    </w:pPr>
    <w:rPr>
      <w:rFonts w:ascii="Times New Roman" w:hAnsi="Times New Roman" w:cs="Times New Roman"/>
      <w:sz w:val="20"/>
      <w:szCs w:val="20"/>
    </w:rPr>
  </w:style>
  <w:style w:type="paragraph" w:customStyle="1" w:styleId="125">
    <w:name w:val="Nivel 4"/>
    <w:basedOn w:val="1"/>
    <w:autoRedefine/>
    <w:qFormat/>
    <w:uiPriority w:val="0"/>
    <w:pPr>
      <w:numPr>
        <w:ilvl w:val="3"/>
        <w:numId w:val="1"/>
      </w:numPr>
      <w:spacing w:before="120" w:after="120"/>
      <w:jc w:val="both"/>
    </w:pPr>
    <w:rPr>
      <w:rFonts w:cs="Tahoma" w:eastAsiaTheme="minorEastAsia"/>
      <w:sz w:val="20"/>
      <w:szCs w:val="24"/>
    </w:rPr>
  </w:style>
  <w:style w:type="paragraph" w:customStyle="1" w:styleId="126">
    <w:name w:val="Nivel 5"/>
    <w:basedOn w:val="125"/>
    <w:autoRedefine/>
    <w:qFormat/>
    <w:uiPriority w:val="0"/>
    <w:pPr>
      <w:numPr>
        <w:ilvl w:val="0"/>
        <w:numId w:val="0"/>
      </w:numPr>
      <w:ind w:left="2232" w:hanging="792"/>
    </w:pPr>
  </w:style>
  <w:style w:type="paragraph" w:customStyle="1" w:styleId="127">
    <w:name w:val="Standard"/>
    <w:qFormat/>
    <w:uiPriority w:val="0"/>
    <w:pPr>
      <w:suppressAutoHyphens/>
      <w:autoSpaceDN w:val="0"/>
      <w:spacing w:line="240" w:lineRule="auto"/>
    </w:pPr>
    <w:rPr>
      <w:rFonts w:ascii="Liberation Serif" w:hAnsi="Liberation Serif" w:eastAsia="NSimSun" w:cs="Lucida Sans"/>
      <w:kern w:val="3"/>
      <w:sz w:val="24"/>
      <w:szCs w:val="24"/>
      <w:lang w:val="pt-BR" w:eastAsia="zh-CN" w:bidi="hi-IN"/>
    </w:rPr>
  </w:style>
  <w:style w:type="paragraph" w:customStyle="1" w:styleId="128">
    <w:name w:val="Nivel 3"/>
    <w:basedOn w:val="1"/>
    <w:qFormat/>
    <w:uiPriority w:val="0"/>
    <w:pPr>
      <w:tabs>
        <w:tab w:val="left" w:pos="3600"/>
      </w:tabs>
      <w:spacing w:line="240" w:lineRule="auto"/>
      <w:ind w:left="1638" w:hanging="504"/>
    </w:pPr>
    <w:rPr>
      <w:rFonts w:ascii="Ecofont_Spranq_eco_Sans" w:hAnsi="Ecofont_Spranq_eco_Sans" w:cs="Tahoma" w:eastAsiaTheme="minorEastAsia"/>
      <w:sz w:val="24"/>
      <w:szCs w:val="24"/>
    </w:rPr>
  </w:style>
  <w:style w:type="character" w:customStyle="1" w:styleId="129">
    <w:name w:val="Nivel 2 Char"/>
    <w:basedOn w:val="11"/>
    <w:link w:val="124"/>
    <w:qFormat/>
    <w:locked/>
    <w:uiPriority w:val="0"/>
    <w:rPr>
      <w:rFonts w:ascii="Times New Roman" w:hAnsi="Times New Roman" w:cs="Times New Roman"/>
      <w:sz w:val="20"/>
      <w:szCs w:val="20"/>
    </w:rPr>
  </w:style>
  <w:style w:type="paragraph" w:customStyle="1" w:styleId="130">
    <w:name w:val="Nivel 3-erro"/>
    <w:basedOn w:val="128"/>
    <w:link w:val="133"/>
    <w:autoRedefine/>
    <w:qFormat/>
    <w:uiPriority w:val="0"/>
    <w:pPr>
      <w:numPr>
        <w:ilvl w:val="2"/>
        <w:numId w:val="2"/>
      </w:numPr>
      <w:tabs>
        <w:tab w:val="left" w:pos="2160"/>
      </w:tabs>
      <w:spacing w:before="120" w:after="120" w:line="276" w:lineRule="auto"/>
      <w:ind w:left="284" w:firstLine="0"/>
      <w:jc w:val="both"/>
    </w:pPr>
    <w:rPr>
      <w:rFonts w:ascii="Arial" w:hAnsi="Arial"/>
      <w:sz w:val="20"/>
    </w:rPr>
  </w:style>
  <w:style w:type="paragraph" w:customStyle="1" w:styleId="131">
    <w:name w:val="Nível 2 -Red"/>
    <w:basedOn w:val="124"/>
    <w:link w:val="132"/>
    <w:autoRedefine/>
    <w:qFormat/>
    <w:uiPriority w:val="0"/>
    <w:pPr>
      <w:tabs>
        <w:tab w:val="left" w:pos="720"/>
      </w:tabs>
      <w:ind w:hanging="720"/>
    </w:pPr>
  </w:style>
  <w:style w:type="character" w:customStyle="1" w:styleId="132">
    <w:name w:val="Nível 2 -Red Char"/>
    <w:basedOn w:val="129"/>
    <w:link w:val="131"/>
    <w:qFormat/>
    <w:uiPriority w:val="0"/>
    <w:rPr>
      <w:rFonts w:ascii="Times New Roman" w:hAnsi="Times New Roman" w:cs="Times New Roman"/>
      <w:sz w:val="20"/>
      <w:szCs w:val="20"/>
    </w:rPr>
  </w:style>
  <w:style w:type="character" w:customStyle="1" w:styleId="133">
    <w:name w:val="Nivel 3-erro Char"/>
    <w:basedOn w:val="11"/>
    <w:link w:val="130"/>
    <w:qFormat/>
    <w:uiPriority w:val="0"/>
    <w:rPr>
      <w:rFonts w:cs="Tahoma" w:eastAsiaTheme="minorEastAsia"/>
      <w:sz w:val="20"/>
      <w:szCs w:val="24"/>
    </w:rPr>
  </w:style>
  <w:style w:type="table" w:customStyle="1" w:styleId="134">
    <w:name w:val="_Style 124"/>
    <w:basedOn w:val="42"/>
    <w:qFormat/>
    <w:uiPriority w:val="0"/>
    <w:tblPr>
      <w:tblCellMar>
        <w:top w:w="0" w:type="dxa"/>
        <w:left w:w="70" w:type="dxa"/>
        <w:bottom w:w="0" w:type="dxa"/>
        <w:right w:w="70" w:type="dxa"/>
      </w:tblCellMar>
    </w:tblPr>
  </w:style>
  <w:style w:type="table" w:customStyle="1" w:styleId="135">
    <w:name w:val="_Style 125"/>
    <w:basedOn w:val="42"/>
    <w:qFormat/>
    <w:uiPriority w:val="0"/>
    <w:tblPr>
      <w:tblCellMar>
        <w:top w:w="0" w:type="dxa"/>
        <w:left w:w="70" w:type="dxa"/>
        <w:bottom w:w="0" w:type="dxa"/>
        <w:right w:w="70" w:type="dxa"/>
      </w:tblCellMar>
    </w:tblPr>
  </w:style>
  <w:style w:type="table" w:customStyle="1" w:styleId="136">
    <w:name w:val="_Style 126"/>
    <w:basedOn w:val="42"/>
    <w:qFormat/>
    <w:uiPriority w:val="0"/>
    <w:tblPr>
      <w:tblCellMar>
        <w:top w:w="0" w:type="dxa"/>
        <w:left w:w="70" w:type="dxa"/>
        <w:bottom w:w="0" w:type="dxa"/>
        <w:right w:w="70" w:type="dxa"/>
      </w:tblCellMar>
    </w:tblPr>
  </w:style>
  <w:style w:type="table" w:customStyle="1" w:styleId="137">
    <w:name w:val="_Style 127"/>
    <w:basedOn w:val="42"/>
    <w:qFormat/>
    <w:uiPriority w:val="0"/>
    <w:tblPr>
      <w:tblCellMar>
        <w:top w:w="15" w:type="dxa"/>
        <w:left w:w="15" w:type="dxa"/>
        <w:bottom w:w="15" w:type="dxa"/>
        <w:right w:w="15" w:type="dxa"/>
      </w:tblCellMar>
    </w:tblPr>
  </w:style>
  <w:style w:type="table" w:customStyle="1" w:styleId="138">
    <w:name w:val="_Style 128"/>
    <w:basedOn w:val="42"/>
    <w:qFormat/>
    <w:uiPriority w:val="0"/>
    <w:tblPr>
      <w:tblCellMar>
        <w:top w:w="0" w:type="dxa"/>
        <w:left w:w="70" w:type="dxa"/>
        <w:bottom w:w="0" w:type="dxa"/>
        <w:right w:w="70" w:type="dxa"/>
      </w:tblCellMar>
    </w:tblPr>
  </w:style>
  <w:style w:type="table" w:customStyle="1" w:styleId="139">
    <w:name w:val="_Style 129"/>
    <w:basedOn w:val="42"/>
    <w:qFormat/>
    <w:uiPriority w:val="0"/>
    <w:tblPr>
      <w:tblCellMar>
        <w:top w:w="0" w:type="dxa"/>
        <w:left w:w="70" w:type="dxa"/>
        <w:bottom w:w="0" w:type="dxa"/>
        <w:right w:w="70" w:type="dxa"/>
      </w:tblCellMar>
    </w:tblPr>
  </w:style>
  <w:style w:type="table" w:customStyle="1" w:styleId="140">
    <w:name w:val="_Style 130"/>
    <w:basedOn w:val="42"/>
    <w:qFormat/>
    <w:uiPriority w:val="0"/>
    <w:tblPr>
      <w:tblCellMar>
        <w:top w:w="0" w:type="dxa"/>
        <w:left w:w="70" w:type="dxa"/>
        <w:bottom w:w="0" w:type="dxa"/>
        <w:right w:w="70" w:type="dxa"/>
      </w:tblCellMar>
    </w:tblPr>
  </w:style>
  <w:style w:type="table" w:customStyle="1" w:styleId="141">
    <w:name w:val="_Style 132"/>
    <w:basedOn w:val="42"/>
    <w:qFormat/>
    <w:uiPriority w:val="0"/>
    <w:tblPr>
      <w:tblCellMar>
        <w:top w:w="0" w:type="dxa"/>
        <w:left w:w="70" w:type="dxa"/>
        <w:bottom w:w="0" w:type="dxa"/>
        <w:right w:w="70" w:type="dxa"/>
      </w:tblCellMar>
    </w:tblPr>
  </w:style>
  <w:style w:type="table" w:customStyle="1" w:styleId="142">
    <w:name w:val="_Style 133"/>
    <w:basedOn w:val="42"/>
    <w:qFormat/>
    <w:uiPriority w:val="0"/>
    <w:tblPr>
      <w:tblCellMar>
        <w:top w:w="0" w:type="dxa"/>
        <w:left w:w="70" w:type="dxa"/>
        <w:bottom w:w="0" w:type="dxa"/>
        <w:right w:w="70" w:type="dxa"/>
      </w:tblCellMar>
    </w:tblPr>
  </w:style>
  <w:style w:type="table" w:customStyle="1" w:styleId="143">
    <w:name w:val="_Style 134"/>
    <w:basedOn w:val="42"/>
    <w:qFormat/>
    <w:uiPriority w:val="0"/>
    <w:tblPr>
      <w:tblCellMar>
        <w:top w:w="0" w:type="dxa"/>
        <w:left w:w="70" w:type="dxa"/>
        <w:bottom w:w="0" w:type="dxa"/>
        <w:right w:w="70" w:type="dxa"/>
      </w:tblCellMar>
    </w:tblPr>
  </w:style>
  <w:style w:type="table" w:customStyle="1" w:styleId="144">
    <w:name w:val="_Style 135"/>
    <w:basedOn w:val="42"/>
    <w:qFormat/>
    <w:uiPriority w:val="0"/>
    <w:tblPr>
      <w:tblCellMar>
        <w:top w:w="15" w:type="dxa"/>
        <w:left w:w="15" w:type="dxa"/>
        <w:bottom w:w="15" w:type="dxa"/>
        <w:right w:w="15" w:type="dxa"/>
      </w:tblCellMar>
    </w:tblPr>
  </w:style>
  <w:style w:type="table" w:customStyle="1" w:styleId="145">
    <w:name w:val="_Style 136"/>
    <w:basedOn w:val="42"/>
    <w:qFormat/>
    <w:uiPriority w:val="0"/>
    <w:tblPr>
      <w:tblCellMar>
        <w:top w:w="0" w:type="dxa"/>
        <w:left w:w="70" w:type="dxa"/>
        <w:bottom w:w="0" w:type="dxa"/>
        <w:right w:w="70" w:type="dxa"/>
      </w:tblCellMar>
    </w:tblPr>
  </w:style>
  <w:style w:type="table" w:customStyle="1" w:styleId="146">
    <w:name w:val="_Style 137"/>
    <w:basedOn w:val="42"/>
    <w:qFormat/>
    <w:uiPriority w:val="0"/>
    <w:tblPr>
      <w:tblCellMar>
        <w:top w:w="0" w:type="dxa"/>
        <w:left w:w="70" w:type="dxa"/>
        <w:bottom w:w="0" w:type="dxa"/>
        <w:right w:w="70" w:type="dxa"/>
      </w:tblCellMar>
    </w:tblPr>
  </w:style>
  <w:style w:type="table" w:customStyle="1" w:styleId="147">
    <w:name w:val="_Style 138"/>
    <w:basedOn w:val="42"/>
    <w:qFormat/>
    <w:uiPriority w:val="0"/>
    <w:tblPr>
      <w:tblCellMar>
        <w:top w:w="0" w:type="dxa"/>
        <w:left w:w="70" w:type="dxa"/>
        <w:bottom w:w="0" w:type="dxa"/>
        <w:right w:w="70" w:type="dxa"/>
      </w:tblCellMar>
    </w:tblPr>
  </w:style>
  <w:style w:type="character" w:customStyle="1" w:styleId="148">
    <w:name w:val="WW8Num2z1"/>
    <w:qFormat/>
    <w:uiPriority w:val="0"/>
    <w:rPr>
      <w:rFonts w:hint="default"/>
      <w:b/>
      <w:bCs/>
    </w:rPr>
  </w:style>
  <w:style w:type="character" w:customStyle="1" w:styleId="149">
    <w:name w:val="WW8Num2z2"/>
    <w:qFormat/>
    <w:uiPriority w:val="0"/>
    <w:rPr>
      <w:rFonts w:hint="default"/>
    </w:rPr>
  </w:style>
  <w:style w:type="character" w:customStyle="1" w:styleId="150">
    <w:name w:val="WW8Num3z0"/>
    <w:qFormat/>
    <w:uiPriority w:val="0"/>
    <w:rPr>
      <w:rFonts w:hint="default" w:cs="Times New Roman"/>
      <w:b/>
    </w:rPr>
  </w:style>
  <w:style w:type="character" w:customStyle="1" w:styleId="151">
    <w:name w:val="WW8Num4z0"/>
    <w:qFormat/>
    <w:uiPriority w:val="0"/>
    <w:rPr>
      <w:rFonts w:hint="default"/>
      <w:b/>
      <w:bCs/>
    </w:rPr>
  </w:style>
  <w:style w:type="character" w:customStyle="1" w:styleId="152">
    <w:name w:val="WW8Num4z2"/>
    <w:qFormat/>
    <w:uiPriority w:val="0"/>
    <w:rPr>
      <w:rFonts w:hint="default"/>
    </w:rPr>
  </w:style>
  <w:style w:type="character" w:customStyle="1" w:styleId="153">
    <w:name w:val="WW8Num5z0"/>
    <w:qFormat/>
    <w:uiPriority w:val="0"/>
    <w:rPr>
      <w:rFonts w:hint="default"/>
      <w:b/>
      <w:bCs/>
    </w:rPr>
  </w:style>
  <w:style w:type="character" w:customStyle="1" w:styleId="154">
    <w:name w:val="WW8Num5z5"/>
    <w:qFormat/>
    <w:uiPriority w:val="0"/>
    <w:rPr>
      <w:rFonts w:hint="default"/>
    </w:rPr>
  </w:style>
  <w:style w:type="character" w:customStyle="1" w:styleId="155">
    <w:name w:val="WW8Num6z0"/>
    <w:qFormat/>
    <w:uiPriority w:val="0"/>
    <w:rPr>
      <w:rFonts w:hint="default"/>
    </w:rPr>
  </w:style>
  <w:style w:type="character" w:customStyle="1" w:styleId="156">
    <w:name w:val="WW8Num6z1"/>
    <w:qFormat/>
    <w:uiPriority w:val="0"/>
    <w:rPr>
      <w:rFonts w:hint="default"/>
      <w:b/>
      <w:sz w:val="22"/>
    </w:rPr>
  </w:style>
  <w:style w:type="character" w:customStyle="1" w:styleId="157">
    <w:name w:val="WW8Num7z0"/>
    <w:qFormat/>
    <w:uiPriority w:val="0"/>
    <w:rPr>
      <w:rFonts w:hint="default"/>
      <w:b/>
    </w:rPr>
  </w:style>
  <w:style w:type="character" w:customStyle="1" w:styleId="158">
    <w:name w:val="WW8Num7z1"/>
    <w:qFormat/>
    <w:uiPriority w:val="0"/>
    <w:rPr>
      <w:rFonts w:hint="default" w:ascii="Arial" w:hAnsi="Arial" w:cs="Arial"/>
      <w:color w:val="000000"/>
      <w:sz w:val="20"/>
      <w:szCs w:val="20"/>
      <w:u w:val="none"/>
    </w:rPr>
  </w:style>
  <w:style w:type="character" w:customStyle="1" w:styleId="159">
    <w:name w:val="WW8Num7z2"/>
    <w:qFormat/>
    <w:uiPriority w:val="0"/>
    <w:rPr>
      <w:rFonts w:hint="default" w:ascii="Arial" w:hAnsi="Arial" w:cs="Arial"/>
      <w:color w:val="000000"/>
      <w:sz w:val="20"/>
      <w:szCs w:val="20"/>
    </w:rPr>
  </w:style>
  <w:style w:type="character" w:customStyle="1" w:styleId="160">
    <w:name w:val="WW8Num7z3"/>
    <w:qFormat/>
    <w:uiPriority w:val="0"/>
    <w:rPr>
      <w:rFonts w:hint="default"/>
    </w:rPr>
  </w:style>
  <w:style w:type="character" w:customStyle="1" w:styleId="161">
    <w:name w:val="WW8Num8z0"/>
    <w:qFormat/>
    <w:uiPriority w:val="0"/>
    <w:rPr>
      <w:rFonts w:hint="default" w:ascii="Wingdings" w:hAnsi="Wingdings" w:cs="Wingdings"/>
    </w:rPr>
  </w:style>
  <w:style w:type="character" w:customStyle="1" w:styleId="162">
    <w:name w:val="WW8Num8z1"/>
    <w:qFormat/>
    <w:uiPriority w:val="0"/>
    <w:rPr>
      <w:rFonts w:hint="default" w:ascii="Courier New" w:hAnsi="Courier New" w:cs="Courier New"/>
    </w:rPr>
  </w:style>
  <w:style w:type="character" w:customStyle="1" w:styleId="163">
    <w:name w:val="WW8Num8z3"/>
    <w:qFormat/>
    <w:uiPriority w:val="0"/>
    <w:rPr>
      <w:rFonts w:hint="default" w:ascii="Symbol" w:hAnsi="Symbol" w:cs="Symbol"/>
    </w:rPr>
  </w:style>
  <w:style w:type="character" w:customStyle="1" w:styleId="164">
    <w:name w:val="WW8Num12z0"/>
    <w:qFormat/>
    <w:uiPriority w:val="0"/>
    <w:rPr>
      <w:rFonts w:hint="default" w:ascii="Wingdings" w:hAnsi="Wingdings" w:cs="Wingdings"/>
    </w:rPr>
  </w:style>
  <w:style w:type="character" w:customStyle="1" w:styleId="165">
    <w:name w:val="WW8Num12z1"/>
    <w:qFormat/>
    <w:uiPriority w:val="0"/>
    <w:rPr>
      <w:rFonts w:hint="default" w:ascii="Courier New" w:hAnsi="Courier New" w:cs="Courier New"/>
    </w:rPr>
  </w:style>
  <w:style w:type="character" w:customStyle="1" w:styleId="166">
    <w:name w:val="WW8Num12z3"/>
    <w:qFormat/>
    <w:uiPriority w:val="0"/>
    <w:rPr>
      <w:rFonts w:hint="default" w:ascii="Symbol" w:hAnsi="Symbol" w:cs="Symbol"/>
    </w:rPr>
  </w:style>
  <w:style w:type="character" w:customStyle="1" w:styleId="167">
    <w:name w:val="WW8Num14z0"/>
    <w:qFormat/>
    <w:uiPriority w:val="0"/>
    <w:rPr>
      <w:rFonts w:hint="default" w:ascii="Symbol" w:hAnsi="Symbol" w:cs="Symbol"/>
      <w:sz w:val="20"/>
    </w:rPr>
  </w:style>
  <w:style w:type="character" w:customStyle="1" w:styleId="168">
    <w:name w:val="WW8Num14z1"/>
    <w:qFormat/>
    <w:uiPriority w:val="0"/>
    <w:rPr>
      <w:rFonts w:hint="default" w:ascii="Courier New" w:hAnsi="Courier New" w:cs="Courier New"/>
      <w:sz w:val="20"/>
    </w:rPr>
  </w:style>
  <w:style w:type="character" w:customStyle="1" w:styleId="169">
    <w:name w:val="WW8Num14z2"/>
    <w:qFormat/>
    <w:uiPriority w:val="0"/>
    <w:rPr>
      <w:rFonts w:hint="default" w:ascii="Wingdings" w:hAnsi="Wingdings" w:cs="Wingdings"/>
      <w:sz w:val="20"/>
    </w:rPr>
  </w:style>
  <w:style w:type="character" w:customStyle="1" w:styleId="170">
    <w:name w:val="WW8Num15z0"/>
    <w:qFormat/>
    <w:uiPriority w:val="0"/>
    <w:rPr>
      <w:rFonts w:hint="default" w:ascii="Symbol" w:hAnsi="Symbol" w:cs="Symbol"/>
      <w:sz w:val="20"/>
    </w:rPr>
  </w:style>
  <w:style w:type="character" w:customStyle="1" w:styleId="171">
    <w:name w:val="WW8Num15z1"/>
    <w:qFormat/>
    <w:uiPriority w:val="0"/>
    <w:rPr>
      <w:rFonts w:hint="default" w:ascii="Courier New" w:hAnsi="Courier New" w:cs="Courier New"/>
      <w:sz w:val="20"/>
    </w:rPr>
  </w:style>
  <w:style w:type="character" w:customStyle="1" w:styleId="172">
    <w:name w:val="WW8Num15z2"/>
    <w:qFormat/>
    <w:uiPriority w:val="0"/>
    <w:rPr>
      <w:rFonts w:hint="default" w:ascii="Wingdings" w:hAnsi="Wingdings" w:cs="Wingdings"/>
      <w:sz w:val="20"/>
    </w:rPr>
  </w:style>
  <w:style w:type="character" w:customStyle="1" w:styleId="173">
    <w:name w:val="WW8Num16z0"/>
    <w:qFormat/>
    <w:uiPriority w:val="0"/>
    <w:rPr>
      <w:rFonts w:hint="default" w:ascii="Symbol" w:hAnsi="Symbol" w:cs="Symbol"/>
      <w:sz w:val="20"/>
    </w:rPr>
  </w:style>
  <w:style w:type="character" w:customStyle="1" w:styleId="174">
    <w:name w:val="WW8Num16z1"/>
    <w:qFormat/>
    <w:uiPriority w:val="0"/>
    <w:rPr>
      <w:rFonts w:hint="default" w:ascii="Courier New" w:hAnsi="Courier New" w:cs="Courier New"/>
      <w:sz w:val="20"/>
    </w:rPr>
  </w:style>
  <w:style w:type="character" w:customStyle="1" w:styleId="175">
    <w:name w:val="WW8Num16z2"/>
    <w:qFormat/>
    <w:uiPriority w:val="0"/>
    <w:rPr>
      <w:rFonts w:hint="default" w:ascii="Wingdings" w:hAnsi="Wingdings" w:cs="Wingdings"/>
      <w:sz w:val="20"/>
    </w:rPr>
  </w:style>
  <w:style w:type="character" w:customStyle="1" w:styleId="176">
    <w:name w:val="WW8Num18z0"/>
    <w:qFormat/>
    <w:uiPriority w:val="0"/>
    <w:rPr>
      <w:rFonts w:hint="default" w:cs="Times New Roman"/>
    </w:rPr>
  </w:style>
  <w:style w:type="character" w:customStyle="1" w:styleId="177">
    <w:name w:val="WW8Num18z1"/>
    <w:qFormat/>
    <w:uiPriority w:val="0"/>
    <w:rPr>
      <w:rFonts w:hint="default" w:cs="Times New Roman"/>
      <w:b/>
    </w:rPr>
  </w:style>
  <w:style w:type="character" w:customStyle="1" w:styleId="178">
    <w:name w:val="WW8Num19z0"/>
    <w:qFormat/>
    <w:uiPriority w:val="0"/>
    <w:rPr>
      <w:rFonts w:hint="default" w:ascii="Symbol" w:hAnsi="Symbol" w:cs="Symbol"/>
      <w:sz w:val="20"/>
    </w:rPr>
  </w:style>
  <w:style w:type="character" w:customStyle="1" w:styleId="179">
    <w:name w:val="WW8Num19z1"/>
    <w:qFormat/>
    <w:uiPriority w:val="0"/>
    <w:rPr>
      <w:rFonts w:hint="default" w:ascii="Courier New" w:hAnsi="Courier New" w:cs="Courier New"/>
      <w:sz w:val="20"/>
    </w:rPr>
  </w:style>
  <w:style w:type="character" w:customStyle="1" w:styleId="180">
    <w:name w:val="WW8Num19z2"/>
    <w:qFormat/>
    <w:uiPriority w:val="0"/>
    <w:rPr>
      <w:rFonts w:hint="default" w:ascii="Wingdings" w:hAnsi="Wingdings" w:cs="Wingdings"/>
      <w:sz w:val="20"/>
    </w:rPr>
  </w:style>
  <w:style w:type="character" w:customStyle="1" w:styleId="181">
    <w:name w:val="WW8Num20z0"/>
    <w:qFormat/>
    <w:uiPriority w:val="0"/>
    <w:rPr>
      <w:rFonts w:hint="default" w:ascii="Symbol" w:hAnsi="Symbol" w:cs="Symbol"/>
      <w:sz w:val="20"/>
    </w:rPr>
  </w:style>
  <w:style w:type="character" w:customStyle="1" w:styleId="182">
    <w:name w:val="WW8Num20z1"/>
    <w:qFormat/>
    <w:uiPriority w:val="0"/>
    <w:rPr>
      <w:rFonts w:hint="default" w:ascii="Courier New" w:hAnsi="Courier New" w:cs="Courier New"/>
      <w:sz w:val="20"/>
    </w:rPr>
  </w:style>
  <w:style w:type="character" w:customStyle="1" w:styleId="183">
    <w:name w:val="WW8Num20z2"/>
    <w:qFormat/>
    <w:uiPriority w:val="0"/>
    <w:rPr>
      <w:rFonts w:hint="default" w:ascii="Wingdings" w:hAnsi="Wingdings" w:cs="Wingdings"/>
      <w:sz w:val="20"/>
    </w:rPr>
  </w:style>
  <w:style w:type="character" w:customStyle="1" w:styleId="184">
    <w:name w:val="WW8Num21z0"/>
    <w:qFormat/>
    <w:uiPriority w:val="0"/>
    <w:rPr>
      <w:rFonts w:hint="default" w:ascii="Wingdings" w:hAnsi="Wingdings" w:cs="Wingdings"/>
    </w:rPr>
  </w:style>
  <w:style w:type="character" w:customStyle="1" w:styleId="185">
    <w:name w:val="WW8Num21z1"/>
    <w:qFormat/>
    <w:uiPriority w:val="0"/>
    <w:rPr>
      <w:rFonts w:hint="default" w:ascii="Courier New" w:hAnsi="Courier New" w:cs="Courier New"/>
    </w:rPr>
  </w:style>
  <w:style w:type="character" w:customStyle="1" w:styleId="186">
    <w:name w:val="WW8Num21z3"/>
    <w:qFormat/>
    <w:uiPriority w:val="0"/>
    <w:rPr>
      <w:rFonts w:hint="default" w:ascii="Symbol" w:hAnsi="Symbol" w:cs="Symbol"/>
    </w:rPr>
  </w:style>
  <w:style w:type="character" w:customStyle="1" w:styleId="187">
    <w:name w:val="WW8Num22z0"/>
    <w:qFormat/>
    <w:uiPriority w:val="0"/>
    <w:rPr>
      <w:rFonts w:hint="default"/>
      <w:color w:val="000000"/>
    </w:rPr>
  </w:style>
  <w:style w:type="character" w:customStyle="1" w:styleId="188">
    <w:name w:val="WW8Num23z0"/>
    <w:qFormat/>
    <w:uiPriority w:val="0"/>
    <w:rPr>
      <w:rFonts w:hint="default" w:ascii="Symbol" w:hAnsi="Symbol" w:cs="Symbol"/>
      <w:sz w:val="20"/>
    </w:rPr>
  </w:style>
  <w:style w:type="character" w:customStyle="1" w:styleId="189">
    <w:name w:val="WW8Num23z1"/>
    <w:qFormat/>
    <w:uiPriority w:val="0"/>
    <w:rPr>
      <w:rFonts w:hint="default" w:ascii="Courier New" w:hAnsi="Courier New" w:cs="Courier New"/>
      <w:sz w:val="20"/>
    </w:rPr>
  </w:style>
  <w:style w:type="character" w:customStyle="1" w:styleId="190">
    <w:name w:val="WW8Num23z2"/>
    <w:qFormat/>
    <w:uiPriority w:val="0"/>
    <w:rPr>
      <w:rFonts w:hint="default" w:ascii="Wingdings" w:hAnsi="Wingdings" w:cs="Wingdings"/>
      <w:sz w:val="20"/>
    </w:rPr>
  </w:style>
  <w:style w:type="character" w:customStyle="1" w:styleId="191">
    <w:name w:val="Fonte parág. padrão3"/>
    <w:qFormat/>
    <w:uiPriority w:val="0"/>
  </w:style>
  <w:style w:type="character" w:customStyle="1" w:styleId="192">
    <w:name w:val="WW8Num1z1"/>
    <w:qFormat/>
    <w:uiPriority w:val="0"/>
    <w:rPr>
      <w:rFonts w:hint="default"/>
      <w:b/>
      <w:bCs/>
    </w:rPr>
  </w:style>
  <w:style w:type="character" w:customStyle="1" w:styleId="193">
    <w:name w:val="WW8Num1z2"/>
    <w:qFormat/>
    <w:uiPriority w:val="0"/>
    <w:rPr>
      <w:rFonts w:hint="default"/>
    </w:rPr>
  </w:style>
  <w:style w:type="character" w:customStyle="1" w:styleId="194">
    <w:name w:val="WW8Num3z2"/>
    <w:qFormat/>
    <w:uiPriority w:val="0"/>
    <w:rPr>
      <w:b/>
    </w:rPr>
  </w:style>
  <w:style w:type="character" w:customStyle="1" w:styleId="195">
    <w:name w:val="WW8Num4z1"/>
    <w:qFormat/>
    <w:uiPriority w:val="0"/>
    <w:rPr>
      <w:rFonts w:cs="Times New Roman"/>
    </w:rPr>
  </w:style>
  <w:style w:type="character" w:customStyle="1" w:styleId="196">
    <w:name w:val="WW8Num9z0"/>
    <w:qFormat/>
    <w:uiPriority w:val="0"/>
    <w:rPr>
      <w:rFonts w:hint="default"/>
      <w:b/>
      <w:bCs/>
    </w:rPr>
  </w:style>
  <w:style w:type="character" w:customStyle="1" w:styleId="197">
    <w:name w:val="WW8Num9z2"/>
    <w:qFormat/>
    <w:uiPriority w:val="0"/>
    <w:rPr>
      <w:rFonts w:hint="default"/>
    </w:rPr>
  </w:style>
  <w:style w:type="character" w:customStyle="1" w:styleId="198">
    <w:name w:val="WW8Num10z0"/>
    <w:qFormat/>
    <w:uiPriority w:val="0"/>
    <w:rPr>
      <w:rFonts w:hint="default" w:cs="Times New Roman"/>
      <w:b/>
    </w:rPr>
  </w:style>
  <w:style w:type="character" w:customStyle="1" w:styleId="199">
    <w:name w:val="WW8Num10z1"/>
    <w:qFormat/>
    <w:uiPriority w:val="0"/>
    <w:rPr>
      <w:rFonts w:cs="Times New Roman"/>
    </w:rPr>
  </w:style>
  <w:style w:type="character" w:customStyle="1" w:styleId="200">
    <w:name w:val="WW8Num11z0"/>
    <w:qFormat/>
    <w:uiPriority w:val="0"/>
    <w:rPr>
      <w:rFonts w:hint="default"/>
    </w:rPr>
  </w:style>
  <w:style w:type="character" w:customStyle="1" w:styleId="201">
    <w:name w:val="WW8Num12z5"/>
    <w:qFormat/>
    <w:uiPriority w:val="0"/>
    <w:rPr>
      <w:rFonts w:hint="default"/>
    </w:rPr>
  </w:style>
  <w:style w:type="character" w:customStyle="1" w:styleId="202">
    <w:name w:val="WW8Num13z0"/>
    <w:qFormat/>
    <w:uiPriority w:val="0"/>
    <w:rPr>
      <w:rFonts w:hint="default"/>
    </w:rPr>
  </w:style>
  <w:style w:type="character" w:customStyle="1" w:styleId="203">
    <w:name w:val="WW8Num17z0"/>
    <w:qFormat/>
    <w:uiPriority w:val="0"/>
    <w:rPr>
      <w:rFonts w:hint="default" w:cs="Times New Roman"/>
      <w:b/>
    </w:rPr>
  </w:style>
  <w:style w:type="character" w:customStyle="1" w:styleId="204">
    <w:name w:val="WW8Num17z1"/>
    <w:qFormat/>
    <w:uiPriority w:val="0"/>
    <w:rPr>
      <w:rFonts w:cs="Times New Roman"/>
    </w:rPr>
  </w:style>
  <w:style w:type="character" w:customStyle="1" w:styleId="205">
    <w:name w:val="WW8Num22z3"/>
    <w:qFormat/>
    <w:uiPriority w:val="0"/>
    <w:rPr>
      <w:rFonts w:hint="default" w:cs="Times New Roman"/>
      <w:b/>
    </w:rPr>
  </w:style>
  <w:style w:type="character" w:customStyle="1" w:styleId="206">
    <w:name w:val="Texto sem Formatação Char"/>
    <w:qFormat/>
    <w:uiPriority w:val="0"/>
    <w:rPr>
      <w:rFonts w:ascii="Courier New" w:hAnsi="Courier New" w:eastAsia="Times New Roman" w:cs="Courier New"/>
    </w:rPr>
  </w:style>
  <w:style w:type="character" w:customStyle="1" w:styleId="207">
    <w:name w:val="paginarotulo"/>
    <w:basedOn w:val="21"/>
    <w:qFormat/>
    <w:uiPriority w:val="0"/>
  </w:style>
  <w:style w:type="character" w:customStyle="1" w:styleId="208">
    <w:name w:val="apple-converted-space"/>
    <w:qFormat/>
    <w:uiPriority w:val="0"/>
  </w:style>
  <w:style w:type="character" w:customStyle="1" w:styleId="209">
    <w:name w:val="Corpo de texto 3 Char"/>
    <w:qFormat/>
    <w:uiPriority w:val="0"/>
    <w:rPr>
      <w:rFonts w:eastAsia="Times New Roman"/>
      <w:sz w:val="16"/>
      <w:szCs w:val="16"/>
      <w:lang w:val="en-US"/>
    </w:rPr>
  </w:style>
  <w:style w:type="character" w:customStyle="1" w:styleId="210">
    <w:name w:val="Texto de nota de rodapé Char"/>
    <w:basedOn w:val="21"/>
    <w:qFormat/>
    <w:uiPriority w:val="0"/>
  </w:style>
  <w:style w:type="character" w:customStyle="1" w:styleId="211">
    <w:name w:val="Caracteres de nota de rodapé"/>
    <w:qFormat/>
    <w:uiPriority w:val="0"/>
    <w:rPr>
      <w:rFonts w:cs="Times New Roman"/>
      <w:vertAlign w:val="superscript"/>
    </w:rPr>
  </w:style>
  <w:style w:type="character" w:customStyle="1" w:styleId="212">
    <w:name w:val="citação 2 Char"/>
    <w:qFormat/>
    <w:uiPriority w:val="0"/>
    <w:rPr>
      <w:rFonts w:ascii="Arial" w:hAnsi="Arial" w:eastAsia="Calibri" w:cs="Tahoma"/>
      <w:i/>
      <w:iCs/>
      <w:color w:val="000000"/>
      <w:shd w:val="clear" w:color="auto" w:fill="FFFFCC"/>
    </w:rPr>
  </w:style>
  <w:style w:type="character" w:customStyle="1" w:styleId="213">
    <w:name w:val="Ref. de comentário1"/>
    <w:qFormat/>
    <w:uiPriority w:val="0"/>
    <w:rPr>
      <w:sz w:val="16"/>
      <w:szCs w:val="16"/>
    </w:rPr>
  </w:style>
  <w:style w:type="character" w:customStyle="1" w:styleId="214">
    <w:name w:val="Nivel 3 Char"/>
    <w:qFormat/>
    <w:uiPriority w:val="0"/>
    <w:rPr>
      <w:rFonts w:ascii="Arial" w:hAnsi="Arial" w:eastAsia="MS Mincho" w:cs="Arial"/>
      <w:color w:val="000000"/>
    </w:rPr>
  </w:style>
  <w:style w:type="character" w:customStyle="1" w:styleId="215">
    <w:name w:val="Nível 3-R Char"/>
    <w:qFormat/>
    <w:uiPriority w:val="0"/>
    <w:rPr>
      <w:rFonts w:ascii="Arial" w:hAnsi="Arial" w:eastAsia="MS Mincho" w:cs="Arial"/>
      <w:i/>
      <w:iCs/>
      <w:color w:val="FF0000"/>
    </w:rPr>
  </w:style>
  <w:style w:type="character" w:customStyle="1" w:styleId="216">
    <w:name w:val="normaltextrun"/>
    <w:qFormat/>
    <w:uiPriority w:val="0"/>
  </w:style>
  <w:style w:type="character" w:customStyle="1" w:styleId="217">
    <w:name w:val="eop"/>
    <w:qFormat/>
    <w:uiPriority w:val="0"/>
  </w:style>
  <w:style w:type="character" w:customStyle="1" w:styleId="218">
    <w:name w:val="Nivel 4 Char"/>
    <w:qFormat/>
    <w:uiPriority w:val="0"/>
    <w:rPr>
      <w:rFonts w:ascii="Arial" w:hAnsi="Arial" w:eastAsia="MS Mincho" w:cs="Arial"/>
    </w:rPr>
  </w:style>
  <w:style w:type="character" w:customStyle="1" w:styleId="219">
    <w:name w:val="Recuo de corpo de texto Char"/>
    <w:qFormat/>
    <w:uiPriority w:val="0"/>
    <w:rPr>
      <w:rFonts w:eastAsia="Times New Roman"/>
      <w:sz w:val="24"/>
      <w:szCs w:val="24"/>
      <w:lang w:val="en-US"/>
    </w:rPr>
  </w:style>
  <w:style w:type="character" w:customStyle="1" w:styleId="220">
    <w:name w:val="Recuo de corpo de texto 3 Char"/>
    <w:qFormat/>
    <w:uiPriority w:val="0"/>
    <w:rPr>
      <w:rFonts w:ascii="Arial" w:hAnsi="Arial" w:cs="Arial"/>
      <w:sz w:val="24"/>
      <w:lang w:val="en-US"/>
    </w:rPr>
  </w:style>
  <w:style w:type="character" w:customStyle="1" w:styleId="221">
    <w:name w:val="Corpo de texto 2 Char"/>
    <w:qFormat/>
    <w:uiPriority w:val="0"/>
    <w:rPr>
      <w:rFonts w:eastAsia="Times New Roman"/>
    </w:rPr>
  </w:style>
  <w:style w:type="character" w:customStyle="1" w:styleId="222">
    <w:name w:val="lrzxr"/>
    <w:qFormat/>
    <w:uiPriority w:val="0"/>
  </w:style>
  <w:style w:type="character" w:customStyle="1" w:styleId="223">
    <w:name w:val="theme-text-color-4-3"/>
    <w:qFormat/>
    <w:uiPriority w:val="0"/>
  </w:style>
  <w:style w:type="character" w:customStyle="1" w:styleId="224">
    <w:name w:val="Título Char1"/>
    <w:qFormat/>
    <w:uiPriority w:val="0"/>
    <w:rPr>
      <w:rFonts w:ascii="Arial" w:hAnsi="Arial" w:cs="Arial"/>
      <w:b/>
      <w:bCs/>
      <w:kern w:val="2"/>
      <w:sz w:val="22"/>
      <w:szCs w:val="32"/>
    </w:rPr>
  </w:style>
  <w:style w:type="character" w:customStyle="1" w:styleId="225">
    <w:name w:val="Hyperlink2"/>
    <w:qFormat/>
    <w:uiPriority w:val="0"/>
    <w:rPr>
      <w:rFonts w:cs="Times New Roman"/>
      <w:color w:val="0000FF"/>
      <w:u w:val="single"/>
    </w:rPr>
  </w:style>
  <w:style w:type="character" w:customStyle="1" w:styleId="226">
    <w:name w:val="vuuxrf"/>
    <w:qFormat/>
    <w:uiPriority w:val="0"/>
  </w:style>
  <w:style w:type="character" w:customStyle="1" w:styleId="227">
    <w:name w:val="ylgvce"/>
    <w:qFormat/>
    <w:uiPriority w:val="0"/>
  </w:style>
  <w:style w:type="character" w:customStyle="1" w:styleId="228">
    <w:name w:val="Fonte parág. padrão6"/>
    <w:qFormat/>
    <w:uiPriority w:val="0"/>
  </w:style>
  <w:style w:type="character" w:customStyle="1" w:styleId="229">
    <w:name w:val="Caracteres de nota de fim"/>
    <w:qFormat/>
    <w:uiPriority w:val="0"/>
    <w:rPr>
      <w:rFonts w:cs="Times New Roman"/>
      <w:vertAlign w:val="superscript"/>
    </w:rPr>
  </w:style>
  <w:style w:type="character" w:customStyle="1" w:styleId="230">
    <w:name w:val="st"/>
    <w:qFormat/>
    <w:uiPriority w:val="0"/>
  </w:style>
  <w:style w:type="character" w:customStyle="1" w:styleId="231">
    <w:name w:val="tex3"/>
    <w:qFormat/>
    <w:uiPriority w:val="0"/>
  </w:style>
  <w:style w:type="character" w:customStyle="1" w:styleId="232">
    <w:name w:val="spellingerror"/>
    <w:qFormat/>
    <w:uiPriority w:val="0"/>
  </w:style>
  <w:style w:type="character" w:customStyle="1" w:styleId="233">
    <w:name w:val="Fonte parág. padrão1"/>
    <w:qFormat/>
    <w:uiPriority w:val="0"/>
  </w:style>
  <w:style w:type="character" w:customStyle="1" w:styleId="234">
    <w:name w:val="_xdb"/>
    <w:qFormat/>
    <w:uiPriority w:val="0"/>
  </w:style>
  <w:style w:type="character" w:customStyle="1" w:styleId="235">
    <w:name w:val="_xbe"/>
    <w:qFormat/>
    <w:uiPriority w:val="0"/>
  </w:style>
  <w:style w:type="character" w:customStyle="1" w:styleId="236">
    <w:name w:val="hgkelc"/>
    <w:qFormat/>
    <w:uiPriority w:val="0"/>
  </w:style>
  <w:style w:type="character" w:customStyle="1" w:styleId="237">
    <w:name w:val="textrun"/>
    <w:qFormat/>
    <w:uiPriority w:val="0"/>
  </w:style>
  <w:style w:type="character" w:customStyle="1" w:styleId="238">
    <w:name w:val="WW-Link da Internet"/>
    <w:qFormat/>
    <w:uiPriority w:val="0"/>
    <w:rPr>
      <w:color w:val="0563C1"/>
      <w:u w:val="single"/>
    </w:rPr>
  </w:style>
  <w:style w:type="character" w:customStyle="1" w:styleId="239">
    <w:name w:val="Corpo de texto 3 Char1"/>
    <w:qFormat/>
    <w:uiPriority w:val="0"/>
    <w:rPr>
      <w:sz w:val="16"/>
      <w:szCs w:val="16"/>
      <w:lang w:eastAsia="zh-CN"/>
    </w:rPr>
  </w:style>
  <w:style w:type="paragraph" w:customStyle="1" w:styleId="240">
    <w:name w:val="Título2"/>
    <w:basedOn w:val="1"/>
    <w:next w:val="24"/>
    <w:qFormat/>
    <w:uiPriority w:val="0"/>
    <w:pPr>
      <w:keepNext/>
      <w:suppressAutoHyphens/>
      <w:spacing w:before="240" w:after="120" w:line="240" w:lineRule="auto"/>
    </w:pPr>
    <w:rPr>
      <w:rFonts w:ascii="Liberation Sans" w:hAnsi="Liberation Sans" w:eastAsia="Microsoft YaHei"/>
      <w:sz w:val="28"/>
      <w:szCs w:val="28"/>
      <w:lang w:eastAsia="zh-CN"/>
    </w:rPr>
  </w:style>
  <w:style w:type="paragraph" w:customStyle="1" w:styleId="241">
    <w:name w:val="Índice"/>
    <w:basedOn w:val="1"/>
    <w:qFormat/>
    <w:uiPriority w:val="0"/>
    <w:pPr>
      <w:suppressLineNumbers/>
      <w:suppressAutoHyphens/>
      <w:spacing w:line="240" w:lineRule="auto"/>
    </w:pPr>
    <w:rPr>
      <w:rFonts w:ascii="Times New Roman" w:hAnsi="Times New Roman" w:eastAsia="Times New Roman" w:cs="Times New Roman"/>
      <w:sz w:val="20"/>
      <w:szCs w:val="20"/>
      <w:lang w:eastAsia="zh-CN"/>
    </w:rPr>
  </w:style>
  <w:style w:type="paragraph" w:customStyle="1" w:styleId="242">
    <w:name w:val="Título1"/>
    <w:basedOn w:val="1"/>
    <w:next w:val="1"/>
    <w:qFormat/>
    <w:uiPriority w:val="0"/>
    <w:pPr>
      <w:suppressAutoHyphens/>
      <w:spacing w:before="240" w:after="60" w:line="240" w:lineRule="auto"/>
      <w:jc w:val="both"/>
      <w:outlineLvl w:val="0"/>
    </w:pPr>
    <w:rPr>
      <w:rFonts w:eastAsia="SimSun"/>
      <w:b/>
      <w:bCs/>
      <w:kern w:val="2"/>
      <w:szCs w:val="32"/>
      <w:lang w:eastAsia="zh-CN"/>
    </w:rPr>
  </w:style>
  <w:style w:type="paragraph" w:customStyle="1" w:styleId="243">
    <w:name w:val="Cabeçalho e Rodapé"/>
    <w:basedOn w:val="1"/>
    <w:qFormat/>
    <w:uiPriority w:val="0"/>
    <w:pPr>
      <w:suppressLineNumbers/>
      <w:tabs>
        <w:tab w:val="center" w:pos="4819"/>
        <w:tab w:val="right" w:pos="9638"/>
      </w:tabs>
      <w:suppressAutoHyphens/>
      <w:spacing w:line="240" w:lineRule="auto"/>
    </w:pPr>
    <w:rPr>
      <w:rFonts w:ascii="Times New Roman" w:hAnsi="Times New Roman" w:eastAsia="Times New Roman" w:cs="Times New Roman"/>
      <w:sz w:val="20"/>
      <w:szCs w:val="20"/>
      <w:lang w:eastAsia="zh-CN"/>
    </w:rPr>
  </w:style>
  <w:style w:type="paragraph" w:customStyle="1" w:styleId="244">
    <w:name w:val="Corpo de texto 31"/>
    <w:basedOn w:val="1"/>
    <w:qFormat/>
    <w:uiPriority w:val="0"/>
    <w:pPr>
      <w:widowControl w:val="0"/>
      <w:suppressAutoHyphens/>
      <w:spacing w:after="120" w:line="240" w:lineRule="auto"/>
    </w:pPr>
    <w:rPr>
      <w:rFonts w:ascii="Times New Roman" w:hAnsi="Times New Roman" w:eastAsia="Times New Roman" w:cs="Times New Roman"/>
      <w:sz w:val="16"/>
      <w:szCs w:val="16"/>
      <w:lang w:val="en-US" w:eastAsia="zh-CN"/>
    </w:rPr>
  </w:style>
  <w:style w:type="paragraph" w:customStyle="1" w:styleId="245">
    <w:name w:val="Recuo de corpo de texto 21"/>
    <w:basedOn w:val="1"/>
    <w:qFormat/>
    <w:uiPriority w:val="0"/>
    <w:pPr>
      <w:suppressAutoHyphens/>
      <w:spacing w:line="240" w:lineRule="auto"/>
      <w:ind w:left="993" w:hanging="567"/>
      <w:jc w:val="both"/>
    </w:pPr>
    <w:rPr>
      <w:rFonts w:eastAsia="Times New Roman"/>
      <w:sz w:val="24"/>
      <w:szCs w:val="20"/>
      <w:lang w:val="en-US" w:eastAsia="zh-CN"/>
    </w:rPr>
  </w:style>
  <w:style w:type="paragraph" w:customStyle="1" w:styleId="246">
    <w:name w:val="PADRAO"/>
    <w:qFormat/>
    <w:uiPriority w:val="0"/>
    <w:pPr>
      <w:suppressAutoHyphens/>
      <w:spacing w:line="240" w:lineRule="auto"/>
      <w:jc w:val="both"/>
    </w:pPr>
    <w:rPr>
      <w:rFonts w:ascii="Times New Roman" w:hAnsi="Times New Roman" w:eastAsia="Times New Roman" w:cs="Times New Roman"/>
      <w:color w:val="000000"/>
      <w:sz w:val="24"/>
      <w:szCs w:val="20"/>
      <w:lang w:val="pt-BR" w:eastAsia="zh-CN" w:bidi="ar-SA"/>
    </w:rPr>
  </w:style>
  <w:style w:type="character" w:customStyle="1" w:styleId="247">
    <w:name w:val="Recuo de corpo de texto Char1"/>
    <w:basedOn w:val="11"/>
    <w:link w:val="39"/>
    <w:qFormat/>
    <w:uiPriority w:val="0"/>
    <w:rPr>
      <w:rFonts w:ascii="Times New Roman" w:hAnsi="Times New Roman" w:eastAsia="Times New Roman" w:cs="Times New Roman"/>
      <w:sz w:val="24"/>
      <w:szCs w:val="24"/>
      <w:lang w:val="en-US" w:eastAsia="zh-CN"/>
    </w:rPr>
  </w:style>
  <w:style w:type="paragraph" w:customStyle="1" w:styleId="248">
    <w:name w:val="Recuo de corpo de texto 31"/>
    <w:basedOn w:val="1"/>
    <w:qFormat/>
    <w:uiPriority w:val="0"/>
    <w:pPr>
      <w:widowControl w:val="0"/>
      <w:suppressAutoHyphens/>
      <w:spacing w:line="240" w:lineRule="auto"/>
      <w:ind w:left="1418"/>
      <w:jc w:val="both"/>
    </w:pPr>
    <w:rPr>
      <w:rFonts w:eastAsia="Times New Roman"/>
      <w:sz w:val="24"/>
      <w:szCs w:val="20"/>
      <w:lang w:val="en-US" w:eastAsia="zh-CN"/>
    </w:rPr>
  </w:style>
  <w:style w:type="paragraph" w:customStyle="1" w:styleId="249">
    <w:name w:val="Recuo de corpo de texto 311"/>
    <w:basedOn w:val="1"/>
    <w:qFormat/>
    <w:uiPriority w:val="0"/>
    <w:pPr>
      <w:suppressAutoHyphens/>
      <w:spacing w:line="240" w:lineRule="auto"/>
      <w:ind w:left="567" w:hanging="567"/>
      <w:jc w:val="both"/>
    </w:pPr>
    <w:rPr>
      <w:rFonts w:eastAsia="Times New Roman"/>
      <w:sz w:val="24"/>
      <w:szCs w:val="20"/>
      <w:lang w:val="en-US" w:eastAsia="zh-CN"/>
    </w:rPr>
  </w:style>
  <w:style w:type="paragraph" w:customStyle="1" w:styleId="250">
    <w:name w:val="Recuo de corpo de texto 22"/>
    <w:basedOn w:val="1"/>
    <w:qFormat/>
    <w:uiPriority w:val="0"/>
    <w:pPr>
      <w:suppressAutoHyphens/>
      <w:spacing w:after="120" w:line="480" w:lineRule="auto"/>
      <w:ind w:left="283"/>
    </w:pPr>
    <w:rPr>
      <w:rFonts w:ascii="Times New Roman" w:hAnsi="Times New Roman" w:eastAsia="Times New Roman" w:cs="Times New Roman"/>
      <w:sz w:val="20"/>
      <w:szCs w:val="20"/>
      <w:lang w:eastAsia="zh-CN"/>
    </w:rPr>
  </w:style>
  <w:style w:type="paragraph" w:customStyle="1" w:styleId="251">
    <w:name w:val="_A010165"/>
    <w:qFormat/>
    <w:uiPriority w:val="0"/>
    <w:pPr>
      <w:tabs>
        <w:tab w:val="left" w:pos="584"/>
        <w:tab w:val="left" w:pos="6560"/>
        <w:tab w:val="left" w:pos="7133"/>
      </w:tabs>
      <w:suppressAutoHyphens/>
      <w:spacing w:line="240" w:lineRule="auto"/>
      <w:jc w:val="both"/>
    </w:pPr>
    <w:rPr>
      <w:rFonts w:ascii="Arial" w:hAnsi="Arial" w:eastAsia="Times New Roman" w:cs="Arial"/>
      <w:color w:val="000000"/>
      <w:sz w:val="22"/>
      <w:szCs w:val="20"/>
      <w:lang w:val="pt-BR" w:eastAsia="zh-CN" w:bidi="ar-SA"/>
    </w:rPr>
  </w:style>
  <w:style w:type="paragraph" w:customStyle="1" w:styleId="252">
    <w:name w:val="Corpo de texto 21"/>
    <w:basedOn w:val="1"/>
    <w:qFormat/>
    <w:uiPriority w:val="0"/>
    <w:pPr>
      <w:suppressAutoHyphens/>
      <w:spacing w:after="120" w:line="480" w:lineRule="auto"/>
    </w:pPr>
    <w:rPr>
      <w:rFonts w:ascii="Times New Roman" w:hAnsi="Times New Roman" w:eastAsia="Times New Roman" w:cs="Times New Roman"/>
      <w:sz w:val="20"/>
      <w:szCs w:val="20"/>
      <w:lang w:eastAsia="zh-CN"/>
    </w:rPr>
  </w:style>
  <w:style w:type="paragraph" w:customStyle="1" w:styleId="253">
    <w:name w:val="Texto sem Formatação1"/>
    <w:basedOn w:val="1"/>
    <w:qFormat/>
    <w:uiPriority w:val="0"/>
    <w:pPr>
      <w:suppressAutoHyphens/>
      <w:spacing w:line="240" w:lineRule="auto"/>
    </w:pPr>
    <w:rPr>
      <w:rFonts w:ascii="Courier New" w:hAnsi="Courier New" w:eastAsia="Times New Roman" w:cs="Courier New"/>
      <w:sz w:val="20"/>
      <w:szCs w:val="20"/>
      <w:lang w:val="zh-CN" w:eastAsia="zh-CN"/>
    </w:rPr>
  </w:style>
  <w:style w:type="paragraph" w:customStyle="1" w:styleId="254">
    <w:name w:val="tcu_-_rel/voto_-_demais_§§"/>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character" w:customStyle="1" w:styleId="255">
    <w:name w:val="Texto de nota de rodapé Char1"/>
    <w:basedOn w:val="11"/>
    <w:link w:val="37"/>
    <w:qFormat/>
    <w:uiPriority w:val="0"/>
    <w:rPr>
      <w:rFonts w:ascii="Times New Roman" w:hAnsi="Times New Roman" w:eastAsia="SimSun" w:cs="Times New Roman"/>
      <w:sz w:val="20"/>
      <w:szCs w:val="20"/>
      <w:lang w:eastAsia="zh-CN"/>
    </w:rPr>
  </w:style>
  <w:style w:type="paragraph" w:customStyle="1" w:styleId="256">
    <w:name w:val="citação 2"/>
    <w:basedOn w:val="110"/>
    <w:qFormat/>
    <w:uiPriority w:val="0"/>
    <w:pPr>
      <w:pBdr>
        <w:top w:val="single" w:color="1F497D" w:sz="4" w:space="1"/>
        <w:left w:val="single" w:color="1F497D" w:sz="4" w:space="4"/>
        <w:bottom w:val="single" w:color="1F497D" w:sz="4" w:space="1"/>
        <w:right w:val="single" w:color="1F497D" w:sz="4" w:space="4"/>
      </w:pBdr>
      <w:shd w:val="clear" w:color="auto" w:fill="FFFFCC"/>
      <w:suppressAutoHyphens/>
      <w:spacing w:before="120" w:after="0" w:line="240" w:lineRule="auto"/>
      <w:jc w:val="both"/>
    </w:pPr>
    <w:rPr>
      <w:rFonts w:ascii="Arial" w:hAnsi="Arial" w:eastAsia="Calibri" w:cs="Tahoma"/>
      <w:color w:val="000000"/>
      <w:kern w:val="0"/>
      <w:sz w:val="20"/>
      <w:szCs w:val="20"/>
      <w:lang w:eastAsia="zh-CN"/>
    </w:rPr>
  </w:style>
  <w:style w:type="paragraph" w:customStyle="1" w:styleId="257">
    <w:name w:val="Texto de comentário1"/>
    <w:basedOn w:val="1"/>
    <w:qFormat/>
    <w:uiPriority w:val="0"/>
    <w:pPr>
      <w:suppressAutoHyphens/>
      <w:spacing w:line="240" w:lineRule="auto"/>
    </w:pPr>
    <w:rPr>
      <w:rFonts w:ascii="Ecofont_Spranq_eco_Sans" w:hAnsi="Ecofont_Spranq_eco_Sans" w:eastAsia="MS Mincho" w:cs="Tahoma"/>
      <w:sz w:val="20"/>
      <w:szCs w:val="20"/>
      <w:lang w:eastAsia="zh-CN"/>
    </w:rPr>
  </w:style>
  <w:style w:type="paragraph" w:customStyle="1" w:styleId="258">
    <w:name w:val="Nível 3-R"/>
    <w:basedOn w:val="128"/>
    <w:qFormat/>
    <w:uiPriority w:val="0"/>
    <w:pPr>
      <w:tabs>
        <w:tab w:val="clear" w:pos="3600"/>
      </w:tabs>
      <w:suppressAutoHyphens/>
      <w:spacing w:before="120" w:after="120" w:line="276" w:lineRule="auto"/>
      <w:ind w:left="284" w:firstLine="0"/>
      <w:jc w:val="both"/>
    </w:pPr>
    <w:rPr>
      <w:rFonts w:ascii="Arial" w:hAnsi="Arial" w:eastAsia="MS Mincho" w:cs="Arial"/>
      <w:i/>
      <w:iCs/>
      <w:color w:val="FF0000"/>
      <w:sz w:val="20"/>
      <w:szCs w:val="20"/>
      <w:lang w:eastAsia="zh-CN"/>
    </w:rPr>
  </w:style>
  <w:style w:type="paragraph" w:customStyle="1" w:styleId="259">
    <w:name w:val="Recuo de corpo de texto 32"/>
    <w:basedOn w:val="1"/>
    <w:qFormat/>
    <w:uiPriority w:val="0"/>
    <w:pPr>
      <w:widowControl w:val="0"/>
      <w:suppressAutoHyphens/>
      <w:spacing w:line="240" w:lineRule="auto"/>
      <w:ind w:left="1418"/>
      <w:jc w:val="both"/>
    </w:pPr>
    <w:rPr>
      <w:rFonts w:eastAsia="SimSun"/>
      <w:sz w:val="24"/>
      <w:szCs w:val="20"/>
      <w:lang w:val="en-US" w:eastAsia="zh-CN"/>
    </w:rPr>
  </w:style>
  <w:style w:type="paragraph" w:customStyle="1" w:styleId="260">
    <w:name w:val="Table Contents"/>
    <w:basedOn w:val="127"/>
    <w:qFormat/>
    <w:uiPriority w:val="0"/>
    <w:pPr>
      <w:suppressLineNumbers/>
      <w:autoSpaceDN/>
      <w:textAlignment w:val="baseline"/>
    </w:pPr>
    <w:rPr>
      <w:rFonts w:cs="Arial"/>
      <w:kern w:val="2"/>
    </w:rPr>
  </w:style>
  <w:style w:type="paragraph" w:customStyle="1" w:styleId="261">
    <w:name w:val="Standard (user)"/>
    <w:qFormat/>
    <w:uiPriority w:val="0"/>
    <w:pPr>
      <w:suppressAutoHyphens/>
      <w:spacing w:line="240" w:lineRule="auto"/>
      <w:textAlignment w:val="baseline"/>
    </w:pPr>
    <w:rPr>
      <w:rFonts w:ascii="Liberation Serif" w:hAnsi="Liberation Serif" w:eastAsia="SimSun" w:cs="Liberation Serif"/>
      <w:kern w:val="2"/>
      <w:sz w:val="24"/>
      <w:szCs w:val="24"/>
      <w:lang w:val="pt-BR" w:eastAsia="zh-CN" w:bidi="hi-IN"/>
    </w:rPr>
  </w:style>
  <w:style w:type="paragraph" w:customStyle="1" w:styleId="262">
    <w:name w:val="western"/>
    <w:basedOn w:val="1"/>
    <w:qFormat/>
    <w:uiPriority w:val="0"/>
    <w:pPr>
      <w:suppressAutoHyphens/>
      <w:spacing w:before="280" w:after="280" w:line="240" w:lineRule="auto"/>
    </w:pPr>
    <w:rPr>
      <w:rFonts w:ascii="Times New Roman" w:hAnsi="Times New Roman" w:eastAsia="Times New Roman" w:cs="Times New Roman"/>
      <w:sz w:val="24"/>
      <w:szCs w:val="24"/>
      <w:lang w:eastAsia="ja-JP"/>
    </w:rPr>
  </w:style>
  <w:style w:type="paragraph" w:styleId="263">
    <w:name w:val="No Spacing"/>
    <w:link w:val="264"/>
    <w:qFormat/>
    <w:uiPriority w:val="1"/>
    <w:pPr>
      <w:suppressAutoHyphens/>
      <w:spacing w:line="240" w:lineRule="auto"/>
    </w:pPr>
    <w:rPr>
      <w:rFonts w:ascii="Calibri" w:hAnsi="Calibri" w:eastAsia="SimSun" w:cs="Calibri"/>
      <w:sz w:val="22"/>
      <w:szCs w:val="22"/>
      <w:lang w:val="pt-BR" w:eastAsia="zh-CN" w:bidi="ar-SA"/>
    </w:rPr>
  </w:style>
  <w:style w:type="character" w:customStyle="1" w:styleId="264">
    <w:name w:val="Sem Espaçamento Char"/>
    <w:link w:val="263"/>
    <w:qFormat/>
    <w:uiPriority w:val="1"/>
    <w:rPr>
      <w:rFonts w:ascii="Calibri" w:hAnsi="Calibri" w:eastAsia="SimSun" w:cs="Calibri"/>
      <w:lang w:eastAsia="zh-CN"/>
    </w:rPr>
  </w:style>
  <w:style w:type="paragraph" w:customStyle="1" w:styleId="265">
    <w:name w:val="Sumário 11"/>
    <w:basedOn w:val="1"/>
    <w:next w:val="1"/>
    <w:qFormat/>
    <w:uiPriority w:val="0"/>
    <w:pPr>
      <w:widowControl w:val="0"/>
      <w:suppressAutoHyphens/>
      <w:autoSpaceDE w:val="0"/>
      <w:spacing w:after="100" w:line="100" w:lineRule="atLeast"/>
      <w:textAlignment w:val="baseline"/>
    </w:pPr>
    <w:rPr>
      <w:rFonts w:ascii="Times New Roman" w:hAnsi="Times New Roman" w:eastAsia="Times New Roman"/>
      <w:sz w:val="24"/>
      <w:szCs w:val="24"/>
      <w:lang w:eastAsia="zh-CN"/>
    </w:rPr>
  </w:style>
  <w:style w:type="paragraph" w:customStyle="1" w:styleId="266">
    <w:name w:val="Normal1"/>
    <w:qFormat/>
    <w:uiPriority w:val="0"/>
    <w:pPr>
      <w:suppressAutoHyphens/>
      <w:spacing w:line="100" w:lineRule="atLeast"/>
      <w:textAlignment w:val="baseline"/>
    </w:pPr>
    <w:rPr>
      <w:rFonts w:ascii="Times New Roman" w:hAnsi="Times New Roman" w:eastAsia="SimSun" w:cs="Times New Roman"/>
      <w:sz w:val="20"/>
      <w:szCs w:val="20"/>
      <w:lang w:val="pt-BR" w:eastAsia="zh-CN" w:bidi="ar-SA"/>
    </w:rPr>
  </w:style>
  <w:style w:type="paragraph" w:customStyle="1" w:styleId="267">
    <w:name w:val="x_msoheader"/>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paragraph" w:customStyle="1" w:styleId="268">
    <w:name w:val="x_msobodytext"/>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paragraph" w:customStyle="1" w:styleId="269">
    <w:name w:val="x_msoheading9"/>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paragraph" w:customStyle="1" w:styleId="270">
    <w:name w:val="x_msoheading8"/>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paragraph" w:customStyle="1" w:styleId="271">
    <w:name w:val="x_msonormal"/>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paragraph" w:customStyle="1" w:styleId="272">
    <w:name w:val="04partenormativa"/>
    <w:basedOn w:val="1"/>
    <w:qFormat/>
    <w:uiPriority w:val="0"/>
    <w:pPr>
      <w:suppressAutoHyphens/>
      <w:spacing w:before="280" w:after="280" w:line="240" w:lineRule="auto"/>
    </w:pPr>
    <w:rPr>
      <w:rFonts w:ascii="Times New Roman" w:hAnsi="Times New Roman" w:eastAsia="SimSun" w:cs="Times New Roman"/>
      <w:sz w:val="24"/>
      <w:szCs w:val="24"/>
      <w:lang w:eastAsia="zh-CN"/>
    </w:rPr>
  </w:style>
  <w:style w:type="paragraph" w:customStyle="1" w:styleId="273">
    <w:name w:val="paragraph"/>
    <w:basedOn w:val="1"/>
    <w:qFormat/>
    <w:uiPriority w:val="0"/>
    <w:pPr>
      <w:suppressAutoHyphens/>
      <w:spacing w:before="280" w:after="280" w:line="240" w:lineRule="auto"/>
    </w:pPr>
    <w:rPr>
      <w:rFonts w:ascii="Times New Roman" w:hAnsi="Times New Roman" w:eastAsia="Times New Roman" w:cs="Times New Roman"/>
      <w:sz w:val="24"/>
      <w:szCs w:val="24"/>
      <w:lang w:eastAsia="zh-CN"/>
    </w:rPr>
  </w:style>
  <w:style w:type="paragraph" w:customStyle="1" w:styleId="274">
    <w:name w:val="xl76"/>
    <w:basedOn w:val="1"/>
    <w:qFormat/>
    <w:uiPriority w:val="0"/>
    <w:pPr>
      <w:pBdr>
        <w:top w:val="none" w:color="000000" w:sz="0" w:space="0"/>
        <w:left w:val="none" w:color="000000" w:sz="0" w:space="0"/>
        <w:bottom w:val="none" w:color="000000" w:sz="0" w:space="0"/>
        <w:right w:val="single" w:color="000000" w:sz="8" w:space="0"/>
      </w:pBdr>
      <w:suppressAutoHyphens/>
      <w:spacing w:before="280" w:after="280" w:line="240" w:lineRule="auto"/>
    </w:pPr>
    <w:rPr>
      <w:rFonts w:eastAsia="SimSun"/>
      <w:sz w:val="20"/>
      <w:szCs w:val="20"/>
      <w:lang w:eastAsia="zh-CN"/>
    </w:rPr>
  </w:style>
  <w:style w:type="paragraph" w:customStyle="1" w:styleId="275">
    <w:name w:val="xl75"/>
    <w:basedOn w:val="1"/>
    <w:qFormat/>
    <w:uiPriority w:val="0"/>
    <w:pPr>
      <w:pBdr>
        <w:top w:val="none" w:color="000000" w:sz="0" w:space="0"/>
        <w:left w:val="none" w:color="000000" w:sz="0" w:space="0"/>
        <w:bottom w:val="none" w:color="000000" w:sz="0" w:space="0"/>
        <w:right w:val="single" w:color="000000" w:sz="8" w:space="0"/>
      </w:pBdr>
      <w:suppressAutoHyphens/>
      <w:spacing w:before="280" w:after="280" w:line="240" w:lineRule="auto"/>
      <w:jc w:val="center"/>
    </w:pPr>
    <w:rPr>
      <w:rFonts w:eastAsia="SimSun"/>
      <w:sz w:val="20"/>
      <w:szCs w:val="20"/>
      <w:lang w:eastAsia="zh-CN"/>
    </w:rPr>
  </w:style>
  <w:style w:type="paragraph" w:customStyle="1" w:styleId="276">
    <w:name w:val="xl74"/>
    <w:basedOn w:val="1"/>
    <w:qFormat/>
    <w:uiPriority w:val="0"/>
    <w:pPr>
      <w:pBdr>
        <w:top w:val="none" w:color="000000" w:sz="0" w:space="0"/>
        <w:left w:val="none" w:color="000000" w:sz="0" w:space="0"/>
        <w:bottom w:val="none" w:color="000000" w:sz="0" w:space="0"/>
        <w:right w:val="single" w:color="000000" w:sz="8" w:space="0"/>
      </w:pBdr>
      <w:suppressAutoHyphens/>
      <w:spacing w:before="280" w:after="280" w:line="240" w:lineRule="auto"/>
    </w:pPr>
    <w:rPr>
      <w:rFonts w:eastAsia="SimSun"/>
      <w:sz w:val="20"/>
      <w:szCs w:val="20"/>
      <w:lang w:eastAsia="zh-CN"/>
    </w:rPr>
  </w:style>
  <w:style w:type="paragraph" w:customStyle="1" w:styleId="277">
    <w:name w:val="xl73"/>
    <w:basedOn w:val="1"/>
    <w:qFormat/>
    <w:uiPriority w:val="0"/>
    <w:pPr>
      <w:pBdr>
        <w:top w:val="none" w:color="000000" w:sz="0" w:space="0"/>
        <w:left w:val="none" w:color="000000" w:sz="0" w:space="0"/>
        <w:bottom w:val="none" w:color="000000" w:sz="0" w:space="0"/>
        <w:right w:val="single" w:color="000000" w:sz="8" w:space="0"/>
      </w:pBdr>
      <w:suppressAutoHyphens/>
      <w:spacing w:before="280" w:after="280" w:line="240" w:lineRule="auto"/>
      <w:jc w:val="both"/>
    </w:pPr>
    <w:rPr>
      <w:rFonts w:eastAsia="SimSun"/>
      <w:sz w:val="19"/>
      <w:szCs w:val="19"/>
      <w:lang w:eastAsia="zh-CN"/>
    </w:rPr>
  </w:style>
  <w:style w:type="paragraph" w:customStyle="1" w:styleId="278">
    <w:name w:val="xl72"/>
    <w:basedOn w:val="1"/>
    <w:qFormat/>
    <w:uiPriority w:val="0"/>
    <w:pPr>
      <w:pBdr>
        <w:top w:val="none" w:color="000000" w:sz="0" w:space="0"/>
        <w:left w:val="single" w:color="000000" w:sz="8" w:space="0"/>
        <w:bottom w:val="none" w:color="000000" w:sz="0" w:space="0"/>
        <w:right w:val="single" w:color="000000" w:sz="8" w:space="0"/>
      </w:pBdr>
      <w:suppressAutoHyphens/>
      <w:spacing w:before="280" w:after="280" w:line="240" w:lineRule="auto"/>
    </w:pPr>
    <w:rPr>
      <w:rFonts w:eastAsia="SimSun"/>
      <w:sz w:val="20"/>
      <w:szCs w:val="20"/>
      <w:lang w:eastAsia="zh-CN"/>
    </w:rPr>
  </w:style>
  <w:style w:type="paragraph" w:customStyle="1" w:styleId="279">
    <w:name w:val="xl71"/>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pPr>
    <w:rPr>
      <w:rFonts w:eastAsia="SimSun"/>
      <w:sz w:val="20"/>
      <w:szCs w:val="20"/>
      <w:lang w:eastAsia="zh-CN"/>
    </w:rPr>
  </w:style>
  <w:style w:type="paragraph" w:customStyle="1" w:styleId="280">
    <w:name w:val="xl70"/>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jc w:val="both"/>
    </w:pPr>
    <w:rPr>
      <w:rFonts w:eastAsia="SimSun"/>
      <w:b/>
      <w:bCs/>
      <w:sz w:val="19"/>
      <w:szCs w:val="19"/>
      <w:lang w:eastAsia="zh-CN"/>
    </w:rPr>
  </w:style>
  <w:style w:type="paragraph" w:customStyle="1" w:styleId="281">
    <w:name w:val="xl69"/>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jc w:val="center"/>
    </w:pPr>
    <w:rPr>
      <w:rFonts w:eastAsia="SimSun"/>
      <w:sz w:val="20"/>
      <w:szCs w:val="20"/>
      <w:lang w:eastAsia="zh-CN"/>
    </w:rPr>
  </w:style>
  <w:style w:type="paragraph" w:customStyle="1" w:styleId="282">
    <w:name w:val="xl68"/>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pPr>
    <w:rPr>
      <w:rFonts w:eastAsia="SimSun"/>
      <w:sz w:val="20"/>
      <w:szCs w:val="20"/>
      <w:lang w:eastAsia="zh-CN"/>
    </w:rPr>
  </w:style>
  <w:style w:type="paragraph" w:customStyle="1" w:styleId="283">
    <w:name w:val="xl67"/>
    <w:basedOn w:val="1"/>
    <w:qFormat/>
    <w:uiPriority w:val="0"/>
    <w:pPr>
      <w:pBdr>
        <w:top w:val="none" w:color="000000" w:sz="0" w:space="0"/>
        <w:left w:val="single" w:color="000000" w:sz="8" w:space="0"/>
        <w:bottom w:val="single" w:color="000000" w:sz="8" w:space="0"/>
        <w:right w:val="single" w:color="000000" w:sz="8" w:space="0"/>
      </w:pBdr>
      <w:suppressAutoHyphens/>
      <w:spacing w:before="280" w:after="280" w:line="240" w:lineRule="auto"/>
    </w:pPr>
    <w:rPr>
      <w:rFonts w:eastAsia="SimSun"/>
      <w:sz w:val="20"/>
      <w:szCs w:val="20"/>
      <w:lang w:eastAsia="zh-CN"/>
    </w:rPr>
  </w:style>
  <w:style w:type="paragraph" w:customStyle="1" w:styleId="284">
    <w:name w:val="xl66"/>
    <w:basedOn w:val="1"/>
    <w:qFormat/>
    <w:uiPriority w:val="0"/>
    <w:pPr>
      <w:suppressAutoHyphens/>
      <w:spacing w:before="280" w:after="280" w:line="240" w:lineRule="auto"/>
      <w:jc w:val="both"/>
    </w:pPr>
    <w:rPr>
      <w:rFonts w:eastAsia="SimSun"/>
      <w:b/>
      <w:bCs/>
      <w:sz w:val="20"/>
      <w:szCs w:val="20"/>
      <w:lang w:eastAsia="zh-CN"/>
    </w:rPr>
  </w:style>
  <w:style w:type="paragraph" w:customStyle="1" w:styleId="285">
    <w:name w:val="xl65"/>
    <w:basedOn w:val="1"/>
    <w:qFormat/>
    <w:uiPriority w:val="0"/>
    <w:pPr>
      <w:suppressAutoHyphens/>
      <w:spacing w:before="280" w:after="280" w:line="240" w:lineRule="auto"/>
    </w:pPr>
    <w:rPr>
      <w:rFonts w:eastAsia="SimSun"/>
      <w:b/>
      <w:bCs/>
      <w:sz w:val="20"/>
      <w:szCs w:val="20"/>
      <w:lang w:eastAsia="zh-CN"/>
    </w:rPr>
  </w:style>
  <w:style w:type="paragraph" w:customStyle="1" w:styleId="286">
    <w:name w:val="font8"/>
    <w:basedOn w:val="1"/>
    <w:qFormat/>
    <w:uiPriority w:val="0"/>
    <w:pPr>
      <w:suppressAutoHyphens/>
      <w:spacing w:before="280" w:after="280" w:line="240" w:lineRule="auto"/>
    </w:pPr>
    <w:rPr>
      <w:rFonts w:eastAsia="SimSun"/>
      <w:color w:val="000000"/>
      <w:sz w:val="19"/>
      <w:szCs w:val="19"/>
      <w:lang w:eastAsia="zh-CN"/>
    </w:rPr>
  </w:style>
  <w:style w:type="paragraph" w:customStyle="1" w:styleId="287">
    <w:name w:val="font7"/>
    <w:basedOn w:val="1"/>
    <w:qFormat/>
    <w:uiPriority w:val="0"/>
    <w:pPr>
      <w:suppressAutoHyphens/>
      <w:spacing w:before="280" w:after="280" w:line="240" w:lineRule="auto"/>
    </w:pPr>
    <w:rPr>
      <w:rFonts w:eastAsia="SimSun"/>
      <w:b/>
      <w:bCs/>
      <w:color w:val="000000"/>
      <w:sz w:val="19"/>
      <w:szCs w:val="19"/>
      <w:lang w:eastAsia="zh-CN"/>
    </w:rPr>
  </w:style>
  <w:style w:type="paragraph" w:customStyle="1" w:styleId="288">
    <w:name w:val="font6"/>
    <w:basedOn w:val="1"/>
    <w:qFormat/>
    <w:uiPriority w:val="0"/>
    <w:pPr>
      <w:suppressAutoHyphens/>
      <w:spacing w:before="280" w:after="280" w:line="240" w:lineRule="auto"/>
    </w:pPr>
    <w:rPr>
      <w:rFonts w:eastAsia="SimSun"/>
      <w:color w:val="000000"/>
      <w:sz w:val="20"/>
      <w:szCs w:val="20"/>
      <w:lang w:eastAsia="zh-CN"/>
    </w:rPr>
  </w:style>
  <w:style w:type="paragraph" w:customStyle="1" w:styleId="289">
    <w:name w:val="font5"/>
    <w:basedOn w:val="1"/>
    <w:qFormat/>
    <w:uiPriority w:val="0"/>
    <w:pPr>
      <w:suppressAutoHyphens/>
      <w:spacing w:before="280" w:after="280" w:line="240" w:lineRule="auto"/>
    </w:pPr>
    <w:rPr>
      <w:rFonts w:eastAsia="SimSun"/>
      <w:b/>
      <w:bCs/>
      <w:color w:val="000000"/>
      <w:sz w:val="20"/>
      <w:szCs w:val="20"/>
      <w:lang w:eastAsia="zh-CN"/>
    </w:rPr>
  </w:style>
  <w:style w:type="paragraph" w:customStyle="1" w:styleId="290">
    <w:name w:val="xl77"/>
    <w:basedOn w:val="1"/>
    <w:qFormat/>
    <w:uiPriority w:val="0"/>
    <w:pPr>
      <w:pBdr>
        <w:top w:val="single" w:color="000000" w:sz="4" w:space="0"/>
        <w:left w:val="none" w:color="000000" w:sz="0" w:space="0"/>
        <w:bottom w:val="single" w:color="000000" w:sz="4" w:space="0"/>
        <w:right w:val="single" w:color="000000" w:sz="4" w:space="0"/>
      </w:pBdr>
      <w:suppressAutoHyphens/>
      <w:spacing w:before="280" w:after="280" w:line="240" w:lineRule="auto"/>
    </w:pPr>
    <w:rPr>
      <w:rFonts w:eastAsia="SimSun"/>
      <w:b/>
      <w:bCs/>
      <w:sz w:val="20"/>
      <w:szCs w:val="20"/>
      <w:lang w:eastAsia="zh-CN"/>
    </w:rPr>
  </w:style>
  <w:style w:type="paragraph" w:customStyle="1" w:styleId="291">
    <w:name w:val="xl78"/>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jc w:val="both"/>
    </w:pPr>
    <w:rPr>
      <w:rFonts w:eastAsia="SimSun"/>
      <w:sz w:val="19"/>
      <w:szCs w:val="19"/>
      <w:lang w:eastAsia="zh-CN"/>
    </w:rPr>
  </w:style>
  <w:style w:type="paragraph" w:customStyle="1" w:styleId="292">
    <w:name w:val="xl79"/>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jc w:val="both"/>
    </w:pPr>
    <w:rPr>
      <w:rFonts w:eastAsia="SimSun"/>
      <w:sz w:val="20"/>
      <w:szCs w:val="20"/>
      <w:lang w:eastAsia="zh-CN"/>
    </w:rPr>
  </w:style>
  <w:style w:type="paragraph" w:customStyle="1" w:styleId="293">
    <w:name w:val="xl80"/>
    <w:basedOn w:val="1"/>
    <w:qFormat/>
    <w:uiPriority w:val="0"/>
    <w:pPr>
      <w:pBdr>
        <w:top w:val="none" w:color="000000" w:sz="0" w:space="0"/>
        <w:left w:val="none" w:color="000000" w:sz="0" w:space="0"/>
        <w:bottom w:val="single" w:color="000000" w:sz="8" w:space="0"/>
        <w:right w:val="single" w:color="000000" w:sz="8" w:space="0"/>
      </w:pBdr>
      <w:suppressAutoHyphens/>
      <w:spacing w:before="280" w:after="280" w:line="240" w:lineRule="auto"/>
    </w:pPr>
    <w:rPr>
      <w:rFonts w:eastAsia="SimSun"/>
      <w:b/>
      <w:bCs/>
      <w:sz w:val="20"/>
      <w:szCs w:val="20"/>
      <w:lang w:eastAsia="zh-CN"/>
    </w:rPr>
  </w:style>
  <w:style w:type="paragraph" w:customStyle="1" w:styleId="294">
    <w:name w:val="xl81"/>
    <w:basedOn w:val="1"/>
    <w:qFormat/>
    <w:uiPriority w:val="0"/>
    <w:pPr>
      <w:suppressAutoHyphens/>
      <w:spacing w:before="280" w:after="280" w:line="240" w:lineRule="auto"/>
      <w:jc w:val="center"/>
    </w:pPr>
    <w:rPr>
      <w:rFonts w:eastAsia="SimSun"/>
      <w:b/>
      <w:bCs/>
      <w:sz w:val="20"/>
      <w:szCs w:val="20"/>
      <w:lang w:eastAsia="zh-CN"/>
    </w:rPr>
  </w:style>
  <w:style w:type="paragraph" w:customStyle="1" w:styleId="295">
    <w:name w:val="xl82"/>
    <w:basedOn w:val="1"/>
    <w:qFormat/>
    <w:uiPriority w:val="0"/>
    <w:pPr>
      <w:suppressAutoHyphens/>
      <w:spacing w:before="280" w:after="280" w:line="240" w:lineRule="auto"/>
      <w:jc w:val="center"/>
    </w:pPr>
    <w:rPr>
      <w:rFonts w:eastAsia="SimSun"/>
      <w:sz w:val="20"/>
      <w:szCs w:val="20"/>
      <w:lang w:eastAsia="zh-CN"/>
    </w:rPr>
  </w:style>
  <w:style w:type="paragraph" w:customStyle="1" w:styleId="296">
    <w:name w:val="xl83"/>
    <w:basedOn w:val="1"/>
    <w:qFormat/>
    <w:uiPriority w:val="0"/>
    <w:pPr>
      <w:suppressAutoHyphens/>
      <w:spacing w:before="280" w:after="280" w:line="240" w:lineRule="auto"/>
      <w:jc w:val="both"/>
    </w:pPr>
    <w:rPr>
      <w:rFonts w:eastAsia="SimSun"/>
      <w:sz w:val="20"/>
      <w:szCs w:val="20"/>
      <w:lang w:eastAsia="zh-CN"/>
    </w:rPr>
  </w:style>
  <w:style w:type="paragraph" w:customStyle="1" w:styleId="297">
    <w:name w:val="xl84"/>
    <w:basedOn w:val="1"/>
    <w:qFormat/>
    <w:uiPriority w:val="0"/>
    <w:pPr>
      <w:suppressAutoHyphens/>
      <w:spacing w:before="280" w:after="280" w:line="240" w:lineRule="auto"/>
      <w:jc w:val="both"/>
    </w:pPr>
    <w:rPr>
      <w:rFonts w:eastAsia="SimSun"/>
      <w:b/>
      <w:bCs/>
      <w:sz w:val="20"/>
      <w:szCs w:val="20"/>
      <w:lang w:eastAsia="zh-CN"/>
    </w:rPr>
  </w:style>
  <w:style w:type="paragraph" w:customStyle="1" w:styleId="298">
    <w:name w:val="xl85"/>
    <w:basedOn w:val="1"/>
    <w:qFormat/>
    <w:uiPriority w:val="0"/>
    <w:pPr>
      <w:pBdr>
        <w:top w:val="none" w:color="000000" w:sz="0"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20"/>
      <w:szCs w:val="20"/>
      <w:lang w:eastAsia="zh-CN"/>
    </w:rPr>
  </w:style>
  <w:style w:type="paragraph" w:customStyle="1" w:styleId="299">
    <w:name w:val="xl86"/>
    <w:basedOn w:val="1"/>
    <w:qFormat/>
    <w:uiPriority w:val="0"/>
    <w:pPr>
      <w:pBdr>
        <w:top w:val="single" w:color="000000" w:sz="8" w:space="0"/>
        <w:left w:val="single" w:color="000000" w:sz="8" w:space="0"/>
        <w:bottom w:val="single" w:color="000000" w:sz="8" w:space="0"/>
        <w:right w:val="none" w:color="000000" w:sz="0" w:space="0"/>
      </w:pBdr>
      <w:suppressAutoHyphens/>
      <w:spacing w:before="280" w:after="280" w:line="240" w:lineRule="auto"/>
      <w:jc w:val="both"/>
    </w:pPr>
    <w:rPr>
      <w:rFonts w:eastAsia="SimSun"/>
      <w:b/>
      <w:bCs/>
      <w:sz w:val="20"/>
      <w:szCs w:val="20"/>
      <w:lang w:eastAsia="zh-CN"/>
    </w:rPr>
  </w:style>
  <w:style w:type="paragraph" w:customStyle="1" w:styleId="300">
    <w:name w:val="xl87"/>
    <w:basedOn w:val="1"/>
    <w:qFormat/>
    <w:uiPriority w:val="0"/>
    <w:pPr>
      <w:pBdr>
        <w:top w:val="single" w:color="000000" w:sz="8"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20"/>
      <w:szCs w:val="20"/>
      <w:lang w:eastAsia="zh-CN"/>
    </w:rPr>
  </w:style>
  <w:style w:type="paragraph" w:customStyle="1" w:styleId="301">
    <w:name w:val="xl88"/>
    <w:basedOn w:val="1"/>
    <w:qFormat/>
    <w:uiPriority w:val="0"/>
    <w:pPr>
      <w:pBdr>
        <w:top w:val="single" w:color="000000" w:sz="8" w:space="0"/>
        <w:left w:val="none" w:color="000000" w:sz="0" w:space="0"/>
        <w:bottom w:val="single" w:color="000000" w:sz="8" w:space="0"/>
        <w:right w:val="single" w:color="000000" w:sz="8" w:space="0"/>
      </w:pBdr>
      <w:suppressAutoHyphens/>
      <w:spacing w:before="280" w:after="280" w:line="240" w:lineRule="auto"/>
      <w:jc w:val="both"/>
    </w:pPr>
    <w:rPr>
      <w:rFonts w:eastAsia="SimSun"/>
      <w:b/>
      <w:bCs/>
      <w:sz w:val="20"/>
      <w:szCs w:val="20"/>
      <w:lang w:eastAsia="zh-CN"/>
    </w:rPr>
  </w:style>
  <w:style w:type="paragraph" w:customStyle="1" w:styleId="302">
    <w:name w:val="xl89"/>
    <w:basedOn w:val="1"/>
    <w:qFormat/>
    <w:uiPriority w:val="0"/>
    <w:pPr>
      <w:pBdr>
        <w:top w:val="single" w:color="000000" w:sz="4" w:space="0"/>
        <w:left w:val="single" w:color="000000" w:sz="4" w:space="0"/>
        <w:bottom w:val="single" w:color="000000" w:sz="4" w:space="0"/>
        <w:right w:val="none" w:color="000000" w:sz="0"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03">
    <w:name w:val="xl90"/>
    <w:basedOn w:val="1"/>
    <w:qFormat/>
    <w:uiPriority w:val="0"/>
    <w:pPr>
      <w:pBdr>
        <w:top w:val="single" w:color="000000" w:sz="4" w:space="0"/>
        <w:left w:val="none" w:color="000000" w:sz="0" w:space="0"/>
        <w:bottom w:val="single" w:color="000000" w:sz="4" w:space="0"/>
        <w:right w:val="none" w:color="000000" w:sz="0"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04">
    <w:name w:val="xl91"/>
    <w:basedOn w:val="1"/>
    <w:qFormat/>
    <w:uiPriority w:val="0"/>
    <w:pPr>
      <w:pBdr>
        <w:top w:val="single" w:color="000000" w:sz="4" w:space="0"/>
        <w:left w:val="none" w:color="000000" w:sz="0" w:space="0"/>
        <w:bottom w:val="single" w:color="000000" w:sz="4" w:space="0"/>
        <w:right w:val="single" w:color="000000" w:sz="4"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05">
    <w:name w:val="xl92"/>
    <w:basedOn w:val="1"/>
    <w:qFormat/>
    <w:uiPriority w:val="0"/>
    <w:pPr>
      <w:pBdr>
        <w:top w:val="single" w:color="000000" w:sz="8" w:space="0"/>
        <w:left w:val="single" w:color="000000" w:sz="4" w:space="0"/>
        <w:bottom w:val="single" w:color="000000" w:sz="4" w:space="0"/>
        <w:right w:val="none" w:color="000000" w:sz="0"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06">
    <w:name w:val="xl93"/>
    <w:basedOn w:val="1"/>
    <w:qFormat/>
    <w:uiPriority w:val="0"/>
    <w:pPr>
      <w:pBdr>
        <w:top w:val="single" w:color="000000" w:sz="8" w:space="0"/>
        <w:left w:val="none" w:color="000000" w:sz="0" w:space="0"/>
        <w:bottom w:val="single" w:color="000000" w:sz="4" w:space="0"/>
        <w:right w:val="none" w:color="000000" w:sz="0"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07">
    <w:name w:val="xl94"/>
    <w:basedOn w:val="1"/>
    <w:qFormat/>
    <w:uiPriority w:val="0"/>
    <w:pPr>
      <w:pBdr>
        <w:top w:val="single" w:color="000000" w:sz="8" w:space="0"/>
        <w:left w:val="none" w:color="000000" w:sz="0" w:space="0"/>
        <w:bottom w:val="single" w:color="000000" w:sz="4" w:space="0"/>
        <w:right w:val="single" w:color="000000" w:sz="4"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08">
    <w:name w:val="xl95"/>
    <w:basedOn w:val="1"/>
    <w:qFormat/>
    <w:uiPriority w:val="0"/>
    <w:pPr>
      <w:pBdr>
        <w:top w:val="single" w:color="000000" w:sz="4"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20"/>
      <w:szCs w:val="20"/>
      <w:lang w:eastAsia="zh-CN"/>
    </w:rPr>
  </w:style>
  <w:style w:type="paragraph" w:customStyle="1" w:styleId="309">
    <w:name w:val="xl96"/>
    <w:basedOn w:val="1"/>
    <w:qFormat/>
    <w:uiPriority w:val="0"/>
    <w:pPr>
      <w:pBdr>
        <w:top w:val="single" w:color="000000" w:sz="4"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19"/>
      <w:szCs w:val="19"/>
      <w:lang w:eastAsia="zh-CN"/>
    </w:rPr>
  </w:style>
  <w:style w:type="paragraph" w:customStyle="1" w:styleId="310">
    <w:name w:val="xl97"/>
    <w:basedOn w:val="1"/>
    <w:qFormat/>
    <w:uiPriority w:val="0"/>
    <w:pPr>
      <w:pBdr>
        <w:top w:val="single" w:color="000000" w:sz="8" w:space="0"/>
        <w:left w:val="single" w:color="000000" w:sz="8" w:space="0"/>
        <w:bottom w:val="single" w:color="000000" w:sz="8" w:space="0"/>
        <w:right w:val="none" w:color="000000" w:sz="0" w:space="0"/>
      </w:pBdr>
      <w:suppressAutoHyphens/>
      <w:spacing w:before="280" w:after="280" w:line="240" w:lineRule="auto"/>
      <w:jc w:val="both"/>
    </w:pPr>
    <w:rPr>
      <w:rFonts w:eastAsia="SimSun"/>
      <w:b/>
      <w:bCs/>
      <w:sz w:val="19"/>
      <w:szCs w:val="19"/>
      <w:lang w:eastAsia="zh-CN"/>
    </w:rPr>
  </w:style>
  <w:style w:type="paragraph" w:customStyle="1" w:styleId="311">
    <w:name w:val="xl98"/>
    <w:basedOn w:val="1"/>
    <w:qFormat/>
    <w:uiPriority w:val="0"/>
    <w:pPr>
      <w:pBdr>
        <w:top w:val="single" w:color="000000" w:sz="8"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19"/>
      <w:szCs w:val="19"/>
      <w:lang w:eastAsia="zh-CN"/>
    </w:rPr>
  </w:style>
  <w:style w:type="paragraph" w:customStyle="1" w:styleId="312">
    <w:name w:val="xl99"/>
    <w:basedOn w:val="1"/>
    <w:qFormat/>
    <w:uiPriority w:val="0"/>
    <w:pPr>
      <w:pBdr>
        <w:top w:val="single" w:color="000000" w:sz="8" w:space="0"/>
        <w:left w:val="none" w:color="000000" w:sz="0" w:space="0"/>
        <w:bottom w:val="single" w:color="000000" w:sz="8" w:space="0"/>
        <w:right w:val="single" w:color="000000" w:sz="8" w:space="0"/>
      </w:pBdr>
      <w:suppressAutoHyphens/>
      <w:spacing w:before="280" w:after="280" w:line="240" w:lineRule="auto"/>
      <w:jc w:val="both"/>
    </w:pPr>
    <w:rPr>
      <w:rFonts w:eastAsia="SimSun"/>
      <w:b/>
      <w:bCs/>
      <w:sz w:val="19"/>
      <w:szCs w:val="19"/>
      <w:lang w:eastAsia="zh-CN"/>
    </w:rPr>
  </w:style>
  <w:style w:type="paragraph" w:customStyle="1" w:styleId="313">
    <w:name w:val="xl100"/>
    <w:basedOn w:val="1"/>
    <w:qFormat/>
    <w:uiPriority w:val="0"/>
    <w:pPr>
      <w:suppressAutoHyphens/>
      <w:spacing w:before="280" w:after="280" w:line="240" w:lineRule="auto"/>
      <w:jc w:val="center"/>
    </w:pPr>
    <w:rPr>
      <w:rFonts w:eastAsia="SimSun"/>
      <w:b/>
      <w:bCs/>
      <w:sz w:val="20"/>
      <w:szCs w:val="20"/>
      <w:lang w:eastAsia="zh-CN"/>
    </w:rPr>
  </w:style>
  <w:style w:type="paragraph" w:customStyle="1" w:styleId="314">
    <w:name w:val="xl101"/>
    <w:basedOn w:val="1"/>
    <w:qFormat/>
    <w:uiPriority w:val="0"/>
    <w:pPr>
      <w:pBdr>
        <w:top w:val="single" w:color="000000" w:sz="8" w:space="0"/>
        <w:left w:val="single" w:color="000000" w:sz="8" w:space="0"/>
        <w:bottom w:val="single" w:color="000000" w:sz="8" w:space="0"/>
        <w:right w:val="none" w:color="000000" w:sz="0"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15">
    <w:name w:val="xl102"/>
    <w:basedOn w:val="1"/>
    <w:qFormat/>
    <w:uiPriority w:val="0"/>
    <w:pPr>
      <w:pBdr>
        <w:top w:val="single" w:color="000000" w:sz="8" w:space="0"/>
        <w:left w:val="none" w:color="000000" w:sz="0" w:space="0"/>
        <w:bottom w:val="single" w:color="000000" w:sz="8" w:space="0"/>
        <w:right w:val="none" w:color="000000" w:sz="0"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16">
    <w:name w:val="xl103"/>
    <w:basedOn w:val="1"/>
    <w:qFormat/>
    <w:uiPriority w:val="0"/>
    <w:pPr>
      <w:pBdr>
        <w:top w:val="single" w:color="000000" w:sz="8" w:space="0"/>
        <w:left w:val="none" w:color="000000" w:sz="0" w:space="0"/>
        <w:bottom w:val="single" w:color="000000" w:sz="8" w:space="0"/>
        <w:right w:val="single" w:color="000000" w:sz="4"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17">
    <w:name w:val="xl104"/>
    <w:basedOn w:val="1"/>
    <w:qFormat/>
    <w:uiPriority w:val="0"/>
    <w:pPr>
      <w:pBdr>
        <w:top w:val="single" w:color="000000" w:sz="8"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20"/>
      <w:szCs w:val="20"/>
      <w:lang w:eastAsia="zh-CN"/>
    </w:rPr>
  </w:style>
  <w:style w:type="paragraph" w:customStyle="1" w:styleId="318">
    <w:name w:val="xl105"/>
    <w:basedOn w:val="1"/>
    <w:qFormat/>
    <w:uiPriority w:val="0"/>
    <w:pPr>
      <w:pBdr>
        <w:top w:val="single" w:color="000000" w:sz="8" w:space="0"/>
        <w:left w:val="none" w:color="000000" w:sz="0" w:space="0"/>
        <w:bottom w:val="single" w:color="000000" w:sz="8" w:space="0"/>
        <w:right w:val="none" w:color="000000" w:sz="0" w:space="0"/>
      </w:pBdr>
      <w:suppressAutoHyphens/>
      <w:spacing w:before="280" w:after="280" w:line="240" w:lineRule="auto"/>
      <w:jc w:val="both"/>
    </w:pPr>
    <w:rPr>
      <w:rFonts w:eastAsia="SimSun"/>
      <w:b/>
      <w:bCs/>
      <w:sz w:val="19"/>
      <w:szCs w:val="19"/>
      <w:lang w:eastAsia="zh-CN"/>
    </w:rPr>
  </w:style>
  <w:style w:type="paragraph" w:customStyle="1" w:styleId="319">
    <w:name w:val="xl106"/>
    <w:basedOn w:val="1"/>
    <w:qFormat/>
    <w:uiPriority w:val="0"/>
    <w:pPr>
      <w:pBdr>
        <w:top w:val="single" w:color="000000" w:sz="8" w:space="0"/>
        <w:left w:val="none" w:color="000000" w:sz="0" w:space="0"/>
        <w:bottom w:val="single" w:color="000000" w:sz="8" w:space="0"/>
        <w:right w:val="single" w:color="000000" w:sz="4" w:space="0"/>
      </w:pBdr>
      <w:suppressAutoHyphens/>
      <w:spacing w:before="280" w:after="280" w:line="240" w:lineRule="auto"/>
      <w:jc w:val="center"/>
    </w:pPr>
    <w:rPr>
      <w:rFonts w:ascii="Times New Roman" w:hAnsi="Times New Roman" w:eastAsia="SimSun" w:cs="Times New Roman"/>
      <w:b/>
      <w:bCs/>
      <w:sz w:val="24"/>
      <w:szCs w:val="24"/>
      <w:lang w:eastAsia="zh-CN"/>
    </w:rPr>
  </w:style>
  <w:style w:type="paragraph" w:customStyle="1" w:styleId="320">
    <w:name w:val="xl107"/>
    <w:basedOn w:val="1"/>
    <w:qFormat/>
    <w:uiPriority w:val="0"/>
    <w:pPr>
      <w:pBdr>
        <w:top w:val="single" w:color="000000" w:sz="8" w:space="0"/>
        <w:left w:val="none" w:color="000000" w:sz="0" w:space="0"/>
        <w:bottom w:val="none" w:color="000000" w:sz="0" w:space="0"/>
        <w:right w:val="none" w:color="000000" w:sz="0" w:space="0"/>
      </w:pBdr>
      <w:suppressAutoHyphens/>
      <w:spacing w:before="280" w:after="280" w:line="240" w:lineRule="auto"/>
      <w:jc w:val="both"/>
    </w:pPr>
    <w:rPr>
      <w:rFonts w:eastAsia="SimSun"/>
      <w:sz w:val="20"/>
      <w:szCs w:val="20"/>
      <w:lang w:eastAsia="zh-CN"/>
    </w:rPr>
  </w:style>
  <w:style w:type="paragraph" w:customStyle="1" w:styleId="321">
    <w:name w:val="Texto sem Formatação2"/>
    <w:basedOn w:val="1"/>
    <w:qFormat/>
    <w:uiPriority w:val="0"/>
    <w:pPr>
      <w:suppressAutoHyphens/>
      <w:spacing w:line="240" w:lineRule="auto"/>
      <w:jc w:val="both"/>
    </w:pPr>
    <w:rPr>
      <w:rFonts w:ascii="Courier New" w:hAnsi="Courier New" w:eastAsia="SimSun" w:cs="Courier New"/>
      <w:sz w:val="20"/>
      <w:szCs w:val="20"/>
      <w:lang w:eastAsia="zh-CN"/>
    </w:rPr>
  </w:style>
  <w:style w:type="paragraph" w:customStyle="1" w:styleId="322">
    <w:name w:val="Conteúdo da tabela"/>
    <w:basedOn w:val="1"/>
    <w:qFormat/>
    <w:uiPriority w:val="0"/>
    <w:pPr>
      <w:widowControl w:val="0"/>
      <w:suppressLineNumbers/>
      <w:suppressAutoHyphens/>
      <w:spacing w:line="240" w:lineRule="auto"/>
    </w:pPr>
    <w:rPr>
      <w:rFonts w:ascii="Times New Roman" w:hAnsi="Times New Roman" w:eastAsia="Times New Roman" w:cs="Times New Roman"/>
      <w:sz w:val="20"/>
      <w:szCs w:val="20"/>
      <w:lang w:eastAsia="zh-CN"/>
    </w:rPr>
  </w:style>
  <w:style w:type="paragraph" w:customStyle="1" w:styleId="323">
    <w:name w:val="Título de tabela"/>
    <w:basedOn w:val="322"/>
    <w:qFormat/>
    <w:uiPriority w:val="0"/>
    <w:pPr>
      <w:jc w:val="center"/>
    </w:pPr>
    <w:rPr>
      <w:b/>
      <w:bCs/>
    </w:rPr>
  </w:style>
  <w:style w:type="paragraph" w:customStyle="1" w:styleId="324">
    <w:name w:val="Corpo de texto 32"/>
    <w:basedOn w:val="1"/>
    <w:qFormat/>
    <w:uiPriority w:val="0"/>
    <w:pPr>
      <w:widowControl w:val="0"/>
      <w:suppressAutoHyphens/>
      <w:spacing w:after="120" w:line="240" w:lineRule="auto"/>
    </w:pPr>
    <w:rPr>
      <w:rFonts w:ascii="Times New Roman" w:hAnsi="Times New Roman" w:eastAsia="Times New Roman" w:cs="Times New Roman"/>
      <w:sz w:val="16"/>
      <w:szCs w:val="16"/>
      <w:lang w:val="en-US" w:eastAsia="zh-CN"/>
    </w:rPr>
  </w:style>
  <w:style w:type="character" w:customStyle="1" w:styleId="325">
    <w:name w:val="Título Char2"/>
    <w:qFormat/>
    <w:uiPriority w:val="10"/>
    <w:rPr>
      <w:rFonts w:ascii="Calibri Light" w:hAnsi="Calibri Light" w:eastAsia="Times New Roman" w:cs="Times New Roman"/>
      <w:b/>
      <w:bCs/>
      <w:kern w:val="28"/>
      <w:sz w:val="32"/>
      <w:szCs w:val="32"/>
      <w:lang w:eastAsia="zh-CN"/>
    </w:rPr>
  </w:style>
  <w:style w:type="character" w:customStyle="1" w:styleId="326">
    <w:name w:val="Link da Internet"/>
    <w:unhideWhenUsed/>
    <w:qFormat/>
    <w:uiPriority w:val="99"/>
    <w:rPr>
      <w:color w:val="0563C1"/>
      <w:u w:val="single"/>
    </w:rPr>
  </w:style>
  <w:style w:type="character" w:customStyle="1" w:styleId="327">
    <w:name w:val="Menção Pendente1"/>
    <w:semiHidden/>
    <w:unhideWhenUsed/>
    <w:qFormat/>
    <w:uiPriority w:val="99"/>
    <w:rPr>
      <w:color w:val="605E5C"/>
      <w:shd w:val="clear" w:color="auto" w:fill="E1DFDD"/>
    </w:rPr>
  </w:style>
  <w:style w:type="character" w:customStyle="1" w:styleId="328">
    <w:name w:val="Subtítulo Char1"/>
    <w:qFormat/>
    <w:uiPriority w:val="11"/>
    <w:rPr>
      <w:rFonts w:ascii="Calibri Light" w:hAnsi="Calibri Light" w:eastAsia="Times New Roman" w:cs="Times New Roman"/>
      <w:sz w:val="24"/>
      <w:szCs w:val="24"/>
      <w:lang w:eastAsia="zh-CN"/>
    </w:rPr>
  </w:style>
  <w:style w:type="character" w:customStyle="1" w:styleId="329">
    <w:name w:val="Citação Intensa Char1"/>
    <w:qFormat/>
    <w:uiPriority w:val="30"/>
    <w:rPr>
      <w:i/>
      <w:iCs/>
      <w:color w:val="5B9BD5"/>
      <w:lang w:eastAsia="zh-CN"/>
    </w:rPr>
  </w:style>
  <w:style w:type="paragraph" w:customStyle="1" w:styleId="330">
    <w:name w:val="Revision"/>
    <w:semiHidden/>
    <w:qFormat/>
    <w:uiPriority w:val="99"/>
    <w:pPr>
      <w:suppressAutoHyphens/>
      <w:spacing w:line="240" w:lineRule="auto"/>
    </w:pPr>
    <w:rPr>
      <w:rFonts w:ascii="Arial" w:hAnsi="Arial" w:eastAsia="Arial" w:cs="Arial"/>
      <w:sz w:val="22"/>
      <w:szCs w:val="22"/>
      <w:lang w:val="pt-PT" w:eastAsia="en-US" w:bidi="ar-SA"/>
    </w:rPr>
  </w:style>
  <w:style w:type="paragraph" w:customStyle="1" w:styleId="331">
    <w:name w:val="Conteúdo do quadro"/>
    <w:basedOn w:val="1"/>
    <w:qFormat/>
    <w:uiPriority w:val="0"/>
    <w:pPr>
      <w:widowControl w:val="0"/>
      <w:suppressAutoHyphens/>
      <w:spacing w:line="240" w:lineRule="auto"/>
    </w:pPr>
    <w:rPr>
      <w:lang w:eastAsia="en-US"/>
    </w:rPr>
  </w:style>
  <w:style w:type="character" w:customStyle="1" w:styleId="332">
    <w:name w:val="Assinatura Char"/>
    <w:basedOn w:val="11"/>
    <w:link w:val="30"/>
    <w:qFormat/>
    <w:uiPriority w:val="0"/>
    <w:rPr>
      <w:lang w:eastAsia="en-US"/>
    </w:rPr>
  </w:style>
  <w:style w:type="paragraph" w:customStyle="1" w:styleId="333">
    <w:name w:val="Bloco de citação"/>
    <w:basedOn w:val="1"/>
    <w:qFormat/>
    <w:uiPriority w:val="0"/>
    <w:pPr>
      <w:widowControl w:val="0"/>
      <w:suppressAutoHyphens/>
      <w:spacing w:after="283" w:line="240" w:lineRule="auto"/>
      <w:ind w:left="567" w:right="567"/>
    </w:pPr>
    <w:rPr>
      <w:lang w:eastAsia="en-US"/>
    </w:rPr>
  </w:style>
  <w:style w:type="paragraph" w:customStyle="1" w:styleId="334">
    <w:name w:val="Figura"/>
    <w:basedOn w:val="34"/>
    <w:qFormat/>
    <w:uiPriority w:val="0"/>
    <w:pPr>
      <w:suppressLineNumbers/>
      <w:suppressAutoHyphens/>
      <w:autoSpaceDE/>
      <w:autoSpaceDN/>
      <w:spacing w:before="120" w:after="120"/>
    </w:pPr>
    <w:rPr>
      <w:rFonts w:ascii="Arial" w:hAnsi="Arial" w:eastAsia="Arial" w:cs="Arial"/>
      <w:color w:val="auto"/>
      <w:sz w:val="24"/>
      <w:szCs w:val="24"/>
      <w:lang w:val="pt-BR"/>
    </w:rPr>
  </w:style>
  <w:style w:type="table" w:customStyle="1" w:styleId="335">
    <w:name w:val="Estilo1"/>
    <w:basedOn w:val="12"/>
    <w:qFormat/>
    <w:uiPriority w:val="99"/>
    <w:pPr>
      <w:spacing w:line="240" w:lineRule="auto"/>
    </w:pPr>
    <w:rPr>
      <w:lang w:eastAsia="zh-CN"/>
    </w:rPr>
    <w:tblPr>
      <w:tblCellMar>
        <w:top w:w="0" w:type="dxa"/>
        <w:left w:w="108" w:type="dxa"/>
        <w:bottom w:w="0" w:type="dxa"/>
        <w:right w:w="108" w:type="dxa"/>
      </w:tblCellMar>
    </w:tblPr>
  </w:style>
  <w:style w:type="table" w:customStyle="1" w:styleId="336">
    <w:name w:val="Grid Table Light"/>
    <w:basedOn w:val="12"/>
    <w:qFormat/>
    <w:uiPriority w:val="40"/>
    <w:pPr>
      <w:widowControl w:val="0"/>
      <w:spacing w:line="240" w:lineRule="auto"/>
    </w:pPr>
    <w:rPr>
      <w:lang w:eastAsia="zh-CN"/>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CellMar>
        <w:top w:w="0" w:type="dxa"/>
        <w:left w:w="108" w:type="dxa"/>
        <w:bottom w:w="0" w:type="dxa"/>
        <w:right w:w="108" w:type="dxa"/>
      </w:tblCellMar>
    </w:tblPr>
  </w:style>
  <w:style w:type="character" w:customStyle="1" w:styleId="337">
    <w:name w:val="Texto de comentário Char1"/>
    <w:semiHidden/>
    <w:qFormat/>
    <w:uiPriority w:val="99"/>
    <w:rPr>
      <w:lang w:eastAsia="zh-CN"/>
    </w:rPr>
  </w:style>
  <w:style w:type="paragraph" w:customStyle="1" w:styleId="338">
    <w:name w:val="Título 1.1"/>
    <w:basedOn w:val="1"/>
    <w:link w:val="339"/>
    <w:qFormat/>
    <w:uiPriority w:val="0"/>
    <w:pPr>
      <w:widowControl w:val="0"/>
      <w:numPr>
        <w:ilvl w:val="1"/>
        <w:numId w:val="3"/>
      </w:numPr>
      <w:autoSpaceDE w:val="0"/>
      <w:autoSpaceDN w:val="0"/>
      <w:spacing w:after="120"/>
      <w:jc w:val="both"/>
    </w:pPr>
    <w:rPr>
      <w:rFonts w:eastAsia="SimSun"/>
      <w:sz w:val="20"/>
      <w:lang w:eastAsia="en-US"/>
    </w:rPr>
  </w:style>
  <w:style w:type="character" w:customStyle="1" w:styleId="339">
    <w:name w:val="Título 1.1 Char"/>
    <w:link w:val="338"/>
    <w:qFormat/>
    <w:locked/>
    <w:uiPriority w:val="0"/>
    <w:rPr>
      <w:rFonts w:eastAsia="SimSun"/>
      <w:sz w:val="20"/>
      <w:lang w:eastAsia="en-US"/>
    </w:rPr>
  </w:style>
  <w:style w:type="character" w:customStyle="1" w:styleId="340">
    <w:name w:val="Menção Pendente2"/>
    <w:semiHidden/>
    <w:unhideWhenUsed/>
    <w:qFormat/>
    <w:uiPriority w:val="99"/>
    <w:rPr>
      <w:color w:val="605E5C"/>
      <w:shd w:val="clear" w:color="auto" w:fill="E1DFDD"/>
    </w:rPr>
  </w:style>
  <w:style w:type="paragraph" w:customStyle="1" w:styleId="341">
    <w:name w:val="texto_justificado"/>
    <w:basedOn w:val="1"/>
    <w:qFormat/>
    <w:uiPriority w:val="99"/>
    <w:pPr>
      <w:spacing w:before="100" w:beforeAutospacing="1" w:after="100" w:afterAutospacing="1" w:line="240" w:lineRule="auto"/>
      <w:jc w:val="both"/>
    </w:pPr>
    <w:rPr>
      <w:rFonts w:ascii="Times New Roman" w:hAnsi="Times New Roman" w:eastAsia="Times New Roman" w:cs="Times New Roman"/>
      <w:sz w:val="24"/>
      <w:szCs w:val="24"/>
    </w:rPr>
  </w:style>
  <w:style w:type="character" w:customStyle="1" w:styleId="342">
    <w:name w:val="Menção Pendente3"/>
    <w:basedOn w:val="11"/>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numbering" Target="numbering.xml"/><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8B19FE-65E3-4E29-88A9-BB3EB9FEAC46}">
  <ds:schemaRefs/>
</ds:datastoreItem>
</file>

<file path=docProps/app.xml><?xml version="1.0" encoding="utf-8"?>
<Properties xmlns="http://schemas.openxmlformats.org/officeDocument/2006/extended-properties" xmlns:vt="http://schemas.openxmlformats.org/officeDocument/2006/docPropsVTypes">
  <Template>Normal</Template>
  <Pages>182</Pages>
  <Words>66750</Words>
  <Characters>360451</Characters>
  <Lines>3003</Lines>
  <Paragraphs>852</Paragraphs>
  <TotalTime>13</TotalTime>
  <ScaleCrop>false</ScaleCrop>
  <LinksUpToDate>false</LinksUpToDate>
  <CharactersWithSpaces>426349</CharactersWithSpaces>
  <Application>WPS Office_12.2.0.22549_F1E327BC-269C-435d-A152-05C5408002CA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2025-09-26T13:14:00Z</dcterms:created>
  <dcterms:modified xsi:type="dcterms:W3CDTF">2025-10-01T13:44:59Z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1046-12.2.0.22549</vt:lpwstr>
  </property>
  <property fmtid="{D5CDD505-2E9C-101B-9397-08002B2CF9AE}" pid="3" name="ICV">
    <vt:lpwstr>79B1263303D44C6F9860A56278E0B562_12</vt:lpwstr>
  </property>
</Properties>
</file>